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17F8C" w14:textId="7B062F1D" w:rsidR="00D47DE6" w:rsidRPr="00D47DE6" w:rsidRDefault="00D47DE6" w:rsidP="006913E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47DE6">
        <w:rPr>
          <w:rFonts w:ascii="Arial" w:hAnsi="Arial" w:cs="Arial"/>
          <w:b/>
          <w:bCs/>
          <w:sz w:val="20"/>
          <w:szCs w:val="20"/>
        </w:rPr>
        <w:t xml:space="preserve">Efecto de la </w:t>
      </w:r>
      <w:proofErr w:type="spellStart"/>
      <w:r w:rsidRPr="00D47DE6">
        <w:rPr>
          <w:rFonts w:ascii="Arial" w:hAnsi="Arial" w:cs="Arial"/>
          <w:b/>
          <w:bCs/>
          <w:sz w:val="20"/>
          <w:szCs w:val="20"/>
        </w:rPr>
        <w:t>calostroterapia</w:t>
      </w:r>
      <w:proofErr w:type="spellEnd"/>
      <w:r w:rsidRPr="00D47DE6">
        <w:rPr>
          <w:rFonts w:ascii="Arial" w:hAnsi="Arial" w:cs="Arial"/>
          <w:b/>
          <w:bCs/>
          <w:sz w:val="20"/>
          <w:szCs w:val="20"/>
        </w:rPr>
        <w:t xml:space="preserve"> orofaríngea en </w:t>
      </w:r>
      <w:r w:rsidRPr="00B63DC7">
        <w:rPr>
          <w:rFonts w:ascii="Arial" w:hAnsi="Arial" w:cs="Arial"/>
          <w:b/>
          <w:bCs/>
          <w:sz w:val="20"/>
          <w:szCs w:val="20"/>
        </w:rPr>
        <w:t xml:space="preserve">morbilidad y mortalidad en </w:t>
      </w:r>
      <w:r w:rsidRPr="00D47DE6">
        <w:rPr>
          <w:rFonts w:ascii="Arial" w:hAnsi="Arial" w:cs="Arial"/>
          <w:b/>
          <w:bCs/>
          <w:sz w:val="20"/>
          <w:szCs w:val="20"/>
        </w:rPr>
        <w:t>prematuros menores de 32 semanas y/o menos de 1500 g. HNCASE 2022</w:t>
      </w:r>
      <w:r w:rsidR="004413E4" w:rsidRPr="00B63DC7">
        <w:rPr>
          <w:rFonts w:ascii="Arial" w:hAnsi="Arial" w:cs="Arial"/>
          <w:b/>
          <w:bCs/>
          <w:sz w:val="20"/>
          <w:szCs w:val="20"/>
        </w:rPr>
        <w:t xml:space="preserve"> </w:t>
      </w:r>
      <w:r w:rsidRPr="00D47DE6">
        <w:rPr>
          <w:rFonts w:ascii="Arial" w:hAnsi="Arial" w:cs="Arial"/>
          <w:b/>
          <w:bCs/>
          <w:sz w:val="20"/>
          <w:szCs w:val="20"/>
        </w:rPr>
        <w:t>y 202</w:t>
      </w:r>
      <w:r w:rsidR="004413E4" w:rsidRPr="00B63DC7">
        <w:rPr>
          <w:rFonts w:ascii="Arial" w:hAnsi="Arial" w:cs="Arial"/>
          <w:b/>
          <w:bCs/>
          <w:sz w:val="20"/>
          <w:szCs w:val="20"/>
        </w:rPr>
        <w:t>4</w:t>
      </w:r>
    </w:p>
    <w:p w14:paraId="7F1E7F56" w14:textId="77777777" w:rsidR="00936783" w:rsidRDefault="00936783">
      <w:pPr>
        <w:rPr>
          <w:rFonts w:ascii="Arial" w:hAnsi="Arial" w:cs="Arial"/>
          <w:sz w:val="20"/>
          <w:szCs w:val="20"/>
        </w:rPr>
      </w:pPr>
    </w:p>
    <w:p w14:paraId="72FBEB0E" w14:textId="35D0D2AB" w:rsidR="00936783" w:rsidRDefault="0093678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Mango </w:t>
      </w:r>
      <w:proofErr w:type="spellStart"/>
      <w:r>
        <w:rPr>
          <w:rFonts w:ascii="Arial" w:hAnsi="Arial" w:cs="Arial"/>
          <w:sz w:val="20"/>
          <w:szCs w:val="20"/>
        </w:rPr>
        <w:t>Cheyca</w:t>
      </w:r>
      <w:proofErr w:type="spellEnd"/>
      <w:r>
        <w:rPr>
          <w:rFonts w:ascii="Arial" w:hAnsi="Arial" w:cs="Arial"/>
          <w:sz w:val="20"/>
          <w:szCs w:val="20"/>
        </w:rPr>
        <w:t xml:space="preserve"> K; Ramos </w:t>
      </w:r>
      <w:proofErr w:type="gramStart"/>
      <w:r>
        <w:rPr>
          <w:rFonts w:ascii="Arial" w:hAnsi="Arial" w:cs="Arial"/>
          <w:sz w:val="20"/>
          <w:szCs w:val="20"/>
        </w:rPr>
        <w:t>Medina ,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M;Mendizabal</w:t>
      </w:r>
      <w:proofErr w:type="spellEnd"/>
      <w:r>
        <w:rPr>
          <w:rFonts w:ascii="Arial" w:hAnsi="Arial" w:cs="Arial"/>
          <w:sz w:val="20"/>
          <w:szCs w:val="20"/>
        </w:rPr>
        <w:t xml:space="preserve"> Pinto J.</w:t>
      </w:r>
    </w:p>
    <w:p w14:paraId="2CCDE146" w14:textId="301BCE94" w:rsidR="005A2734" w:rsidRPr="00B63DC7" w:rsidRDefault="006913EE" w:rsidP="006913EE">
      <w:pPr>
        <w:rPr>
          <w:rFonts w:ascii="Arial" w:hAnsi="Arial" w:cs="Arial"/>
          <w:b/>
          <w:bCs/>
          <w:sz w:val="20"/>
          <w:szCs w:val="20"/>
        </w:rPr>
      </w:pPr>
      <w:r w:rsidRPr="00B63DC7">
        <w:rPr>
          <w:rFonts w:ascii="Arial" w:hAnsi="Arial" w:cs="Arial"/>
          <w:b/>
          <w:bCs/>
          <w:sz w:val="20"/>
          <w:szCs w:val="20"/>
        </w:rPr>
        <w:t xml:space="preserve">1.- </w:t>
      </w:r>
      <w:r w:rsidR="00D47DE6" w:rsidRPr="00B63DC7">
        <w:rPr>
          <w:rFonts w:ascii="Arial" w:hAnsi="Arial" w:cs="Arial"/>
          <w:b/>
          <w:bCs/>
          <w:sz w:val="20"/>
          <w:szCs w:val="20"/>
        </w:rPr>
        <w:t>Introducción</w:t>
      </w:r>
    </w:p>
    <w:p w14:paraId="24FE496C" w14:textId="27A439D0" w:rsidR="00B63DC7" w:rsidRPr="00B63DC7" w:rsidRDefault="00B63DC7" w:rsidP="00B63DC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La prematuridad a nivel mundial y nacional se ha incrementado a lo largo de un histórico y la morbilidad de la misma desde la etapa hospitalaria hasta el seguimiento es un reto de salud pública. En este contexto la leche materna ha cobrado un impacto mayor a través del uso de </w:t>
      </w:r>
      <w:proofErr w:type="spellStart"/>
      <w:r>
        <w:rPr>
          <w:rFonts w:ascii="Arial" w:hAnsi="Arial" w:cs="Arial"/>
          <w:sz w:val="20"/>
          <w:szCs w:val="20"/>
        </w:rPr>
        <w:t>calostroterapia</w:t>
      </w:r>
      <w:proofErr w:type="spellEnd"/>
      <w:r>
        <w:rPr>
          <w:rFonts w:ascii="Arial" w:hAnsi="Arial" w:cs="Arial"/>
          <w:sz w:val="20"/>
          <w:szCs w:val="20"/>
        </w:rPr>
        <w:t xml:space="preserve"> en neonatos ,en diferentes estudios se ha demostrado la asociación con enterocolitis, sepsis,</w:t>
      </w:r>
      <w:r w:rsidR="0093678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neumonía, pero es necesa</w:t>
      </w:r>
      <w:r w:rsidR="00936783">
        <w:rPr>
          <w:rFonts w:ascii="Arial" w:hAnsi="Arial" w:cs="Arial"/>
          <w:sz w:val="20"/>
          <w:szCs w:val="20"/>
        </w:rPr>
        <w:t xml:space="preserve">rio </w:t>
      </w:r>
      <w:r>
        <w:rPr>
          <w:rFonts w:ascii="Arial" w:hAnsi="Arial" w:cs="Arial"/>
          <w:sz w:val="20"/>
          <w:szCs w:val="20"/>
        </w:rPr>
        <w:t xml:space="preserve">someter estos estudios observacionales a un análisis multivariado para establecer la </w:t>
      </w:r>
      <w:r w:rsidR="00936783">
        <w:rPr>
          <w:rFonts w:ascii="Arial" w:hAnsi="Arial" w:cs="Arial"/>
          <w:sz w:val="20"/>
          <w:szCs w:val="20"/>
        </w:rPr>
        <w:t>relación</w:t>
      </w:r>
      <w:r>
        <w:rPr>
          <w:rFonts w:ascii="Arial" w:hAnsi="Arial" w:cs="Arial"/>
          <w:sz w:val="20"/>
          <w:szCs w:val="20"/>
        </w:rPr>
        <w:t xml:space="preserve"> exacta de esta </w:t>
      </w:r>
      <w:r w:rsidR="00936783">
        <w:rPr>
          <w:rFonts w:ascii="Arial" w:hAnsi="Arial" w:cs="Arial"/>
          <w:sz w:val="20"/>
          <w:szCs w:val="20"/>
        </w:rPr>
        <w:t>práctica</w:t>
      </w:r>
      <w:r>
        <w:rPr>
          <w:rFonts w:ascii="Arial" w:hAnsi="Arial" w:cs="Arial"/>
          <w:sz w:val="20"/>
          <w:szCs w:val="20"/>
        </w:rPr>
        <w:t xml:space="preserve"> en la morbilidad o mortalidad </w:t>
      </w:r>
      <w:r w:rsidR="00936783">
        <w:rPr>
          <w:rFonts w:ascii="Arial" w:hAnsi="Arial" w:cs="Arial"/>
          <w:sz w:val="20"/>
          <w:szCs w:val="20"/>
        </w:rPr>
        <w:t xml:space="preserve">neonatal, los </w:t>
      </w:r>
      <w:r>
        <w:rPr>
          <w:rFonts w:ascii="Arial" w:hAnsi="Arial" w:cs="Arial"/>
          <w:sz w:val="20"/>
          <w:szCs w:val="20"/>
        </w:rPr>
        <w:t xml:space="preserve">estudios  que demuestran el valor de la </w:t>
      </w:r>
      <w:proofErr w:type="spellStart"/>
      <w:r w:rsidR="00936783">
        <w:rPr>
          <w:rFonts w:ascii="Arial" w:hAnsi="Arial" w:cs="Arial"/>
          <w:sz w:val="20"/>
          <w:szCs w:val="20"/>
        </w:rPr>
        <w:t>Ig</w:t>
      </w:r>
      <w:proofErr w:type="spellEnd"/>
      <w:r w:rsidR="00936783">
        <w:rPr>
          <w:rFonts w:ascii="Arial" w:hAnsi="Arial" w:cs="Arial"/>
          <w:sz w:val="20"/>
          <w:szCs w:val="20"/>
        </w:rPr>
        <w:t xml:space="preserve"> A</w:t>
      </w:r>
      <w:r>
        <w:rPr>
          <w:rFonts w:ascii="Arial" w:hAnsi="Arial" w:cs="Arial"/>
          <w:sz w:val="20"/>
          <w:szCs w:val="20"/>
        </w:rPr>
        <w:t xml:space="preserve"> en el </w:t>
      </w:r>
      <w:r w:rsidR="00936783">
        <w:rPr>
          <w:rFonts w:ascii="Arial" w:hAnsi="Arial" w:cs="Arial"/>
          <w:sz w:val="20"/>
          <w:szCs w:val="20"/>
        </w:rPr>
        <w:t>calostro</w:t>
      </w:r>
      <w:r>
        <w:rPr>
          <w:rFonts w:ascii="Arial" w:hAnsi="Arial" w:cs="Arial"/>
          <w:sz w:val="20"/>
          <w:szCs w:val="20"/>
        </w:rPr>
        <w:t xml:space="preserve"> de leche prematura ,  </w:t>
      </w:r>
      <w:r w:rsidR="00936783">
        <w:rPr>
          <w:rFonts w:ascii="Arial" w:hAnsi="Arial" w:cs="Arial"/>
          <w:sz w:val="20"/>
          <w:szCs w:val="20"/>
        </w:rPr>
        <w:t>así</w:t>
      </w:r>
      <w:r>
        <w:rPr>
          <w:rFonts w:ascii="Arial" w:hAnsi="Arial" w:cs="Arial"/>
          <w:sz w:val="20"/>
          <w:szCs w:val="20"/>
        </w:rPr>
        <w:t xml:space="preserve"> </w:t>
      </w:r>
      <w:r w:rsidR="00936783">
        <w:rPr>
          <w:rFonts w:ascii="Arial" w:hAnsi="Arial" w:cs="Arial"/>
          <w:sz w:val="20"/>
          <w:szCs w:val="20"/>
        </w:rPr>
        <w:t>como</w:t>
      </w:r>
      <w:r>
        <w:rPr>
          <w:rFonts w:ascii="Arial" w:hAnsi="Arial" w:cs="Arial"/>
          <w:sz w:val="20"/>
          <w:szCs w:val="20"/>
        </w:rPr>
        <w:t xml:space="preserve"> el incremento de citoquinas antiinflamatorias y disminución de proinflamatorias son bases que </w:t>
      </w:r>
      <w:r w:rsidR="00936783">
        <w:rPr>
          <w:rFonts w:ascii="Arial" w:hAnsi="Arial" w:cs="Arial"/>
          <w:sz w:val="20"/>
          <w:szCs w:val="20"/>
        </w:rPr>
        <w:t>sustentan</w:t>
      </w:r>
      <w:r>
        <w:rPr>
          <w:rFonts w:ascii="Arial" w:hAnsi="Arial" w:cs="Arial"/>
          <w:sz w:val="20"/>
          <w:szCs w:val="20"/>
        </w:rPr>
        <w:t xml:space="preserve"> el impac</w:t>
      </w:r>
      <w:r w:rsidR="00936783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 xml:space="preserve">o </w:t>
      </w:r>
      <w:r w:rsidR="00936783">
        <w:rPr>
          <w:rFonts w:ascii="Arial" w:hAnsi="Arial" w:cs="Arial"/>
          <w:sz w:val="20"/>
          <w:szCs w:val="20"/>
        </w:rPr>
        <w:t>clínico. El</w:t>
      </w:r>
      <w:r>
        <w:rPr>
          <w:rFonts w:ascii="Arial" w:hAnsi="Arial" w:cs="Arial"/>
          <w:sz w:val="20"/>
          <w:szCs w:val="20"/>
        </w:rPr>
        <w:t xml:space="preserve"> objetivo del estudio fue mapear este</w:t>
      </w:r>
      <w:r w:rsidR="0093678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impacto en la unidad de </w:t>
      </w:r>
      <w:r w:rsidR="00936783">
        <w:rPr>
          <w:rFonts w:ascii="Arial" w:hAnsi="Arial" w:cs="Arial"/>
          <w:sz w:val="20"/>
          <w:szCs w:val="20"/>
        </w:rPr>
        <w:t>neonatología</w:t>
      </w:r>
      <w:r>
        <w:rPr>
          <w:rFonts w:ascii="Arial" w:hAnsi="Arial" w:cs="Arial"/>
          <w:sz w:val="20"/>
          <w:szCs w:val="20"/>
        </w:rPr>
        <w:t xml:space="preserve"> del HNCASE</w:t>
      </w:r>
      <w:r w:rsidR="00936783">
        <w:rPr>
          <w:rFonts w:ascii="Arial" w:hAnsi="Arial" w:cs="Arial"/>
          <w:sz w:val="20"/>
          <w:szCs w:val="20"/>
        </w:rPr>
        <w:t>.</w:t>
      </w:r>
    </w:p>
    <w:p w14:paraId="706A6459" w14:textId="16BE0A9A" w:rsidR="005A2734" w:rsidRPr="00B63DC7" w:rsidRDefault="00D47DE6">
      <w:pPr>
        <w:rPr>
          <w:rFonts w:ascii="Arial" w:hAnsi="Arial" w:cs="Arial"/>
          <w:b/>
          <w:bCs/>
          <w:sz w:val="20"/>
          <w:szCs w:val="20"/>
        </w:rPr>
      </w:pPr>
      <w:r w:rsidRPr="00B63DC7">
        <w:rPr>
          <w:rFonts w:ascii="Arial" w:hAnsi="Arial" w:cs="Arial"/>
          <w:b/>
          <w:bCs/>
          <w:sz w:val="20"/>
          <w:szCs w:val="20"/>
        </w:rPr>
        <w:t xml:space="preserve">2. Material y métodos </w:t>
      </w:r>
    </w:p>
    <w:p w14:paraId="157F0E10" w14:textId="7B69395C" w:rsidR="004413E4" w:rsidRPr="00B63DC7" w:rsidRDefault="004413E4">
      <w:pPr>
        <w:rPr>
          <w:rFonts w:ascii="Arial" w:hAnsi="Arial" w:cs="Arial"/>
          <w:sz w:val="20"/>
          <w:szCs w:val="20"/>
        </w:rPr>
      </w:pPr>
      <w:r w:rsidRPr="00B63DC7">
        <w:rPr>
          <w:rFonts w:ascii="Arial" w:hAnsi="Arial" w:cs="Arial"/>
          <w:sz w:val="20"/>
          <w:szCs w:val="20"/>
        </w:rPr>
        <w:tab/>
        <w:t>Se reviso las historias clínicas de recién nacidos egresados de neonatología del Hospital Nacional Carlos Alberto Seguin Escobedo</w:t>
      </w:r>
    </w:p>
    <w:p w14:paraId="481863AD" w14:textId="15504A87" w:rsidR="004413E4" w:rsidRPr="00B63DC7" w:rsidRDefault="004413E4" w:rsidP="006913EE">
      <w:pPr>
        <w:ind w:firstLine="708"/>
        <w:rPr>
          <w:rFonts w:ascii="Arial" w:hAnsi="Arial" w:cs="Arial"/>
          <w:sz w:val="20"/>
          <w:szCs w:val="20"/>
        </w:rPr>
      </w:pPr>
      <w:r w:rsidRPr="00B63DC7">
        <w:rPr>
          <w:rFonts w:ascii="Arial" w:hAnsi="Arial" w:cs="Arial"/>
          <w:sz w:val="20"/>
          <w:szCs w:val="20"/>
        </w:rPr>
        <w:t xml:space="preserve"> (HNCASE) de menos o igual a 1500 gr y/o menos o igual a 32 semanas de edad gestacional.</w:t>
      </w:r>
    </w:p>
    <w:p w14:paraId="2262764D" w14:textId="3E2609C9" w:rsidR="005A2734" w:rsidRPr="005A2734" w:rsidRDefault="005A2734" w:rsidP="005A2734">
      <w:pPr>
        <w:numPr>
          <w:ilvl w:val="0"/>
          <w:numId w:val="1"/>
        </w:numPr>
        <w:tabs>
          <w:tab w:val="clear" w:pos="720"/>
          <w:tab w:val="left" w:pos="739"/>
        </w:tabs>
        <w:rPr>
          <w:rFonts w:ascii="Arial" w:hAnsi="Arial" w:cs="Arial"/>
          <w:sz w:val="20"/>
          <w:szCs w:val="20"/>
        </w:rPr>
      </w:pPr>
      <w:r w:rsidRPr="005A2734">
        <w:rPr>
          <w:rFonts w:ascii="Arial" w:hAnsi="Arial" w:cs="Arial"/>
          <w:sz w:val="20"/>
          <w:szCs w:val="20"/>
        </w:rPr>
        <w:t xml:space="preserve">Casos: </w:t>
      </w:r>
      <w:r w:rsidR="007A1659" w:rsidRPr="00B63DC7">
        <w:rPr>
          <w:rFonts w:ascii="Arial" w:hAnsi="Arial" w:cs="Arial"/>
          <w:sz w:val="20"/>
          <w:szCs w:val="20"/>
        </w:rPr>
        <w:t>35</w:t>
      </w:r>
      <w:r w:rsidRPr="005A2734">
        <w:rPr>
          <w:rFonts w:ascii="Arial" w:hAnsi="Arial" w:cs="Arial"/>
          <w:sz w:val="20"/>
          <w:szCs w:val="20"/>
        </w:rPr>
        <w:t xml:space="preserve"> conformaron el grupo que recibió calostro en el año 2024</w:t>
      </w:r>
      <w:r w:rsidR="007A1659" w:rsidRPr="00B63DC7">
        <w:rPr>
          <w:rFonts w:ascii="Arial" w:hAnsi="Arial" w:cs="Arial"/>
          <w:sz w:val="20"/>
          <w:szCs w:val="20"/>
        </w:rPr>
        <w:t xml:space="preserve"> – mayo 2025</w:t>
      </w:r>
      <w:r w:rsidRPr="005A2734">
        <w:rPr>
          <w:rFonts w:ascii="Arial" w:hAnsi="Arial" w:cs="Arial"/>
          <w:sz w:val="20"/>
          <w:szCs w:val="20"/>
        </w:rPr>
        <w:t>.</w:t>
      </w:r>
    </w:p>
    <w:p w14:paraId="36612BEF" w14:textId="6B61B70D" w:rsidR="005A2734" w:rsidRPr="005A2734" w:rsidRDefault="005A2734" w:rsidP="005A2734">
      <w:pPr>
        <w:numPr>
          <w:ilvl w:val="0"/>
          <w:numId w:val="1"/>
        </w:numPr>
        <w:tabs>
          <w:tab w:val="clear" w:pos="720"/>
          <w:tab w:val="left" w:pos="739"/>
        </w:tabs>
        <w:rPr>
          <w:rFonts w:ascii="Arial" w:hAnsi="Arial" w:cs="Arial"/>
          <w:sz w:val="20"/>
          <w:szCs w:val="20"/>
        </w:rPr>
      </w:pPr>
      <w:r w:rsidRPr="005A2734">
        <w:rPr>
          <w:rFonts w:ascii="Arial" w:hAnsi="Arial" w:cs="Arial"/>
          <w:sz w:val="20"/>
          <w:szCs w:val="20"/>
        </w:rPr>
        <w:t xml:space="preserve">Control: </w:t>
      </w:r>
      <w:r w:rsidR="007A1659" w:rsidRPr="00B63DC7">
        <w:rPr>
          <w:rFonts w:ascii="Arial" w:hAnsi="Arial" w:cs="Arial"/>
          <w:sz w:val="20"/>
          <w:szCs w:val="20"/>
        </w:rPr>
        <w:t>42</w:t>
      </w:r>
      <w:r w:rsidRPr="005A2734">
        <w:rPr>
          <w:rFonts w:ascii="Arial" w:hAnsi="Arial" w:cs="Arial"/>
          <w:sz w:val="20"/>
          <w:szCs w:val="20"/>
        </w:rPr>
        <w:t xml:space="preserve"> el grupo que no recibió calostro en el año 2022</w:t>
      </w:r>
      <w:r w:rsidR="007A1659" w:rsidRPr="00B63DC7">
        <w:rPr>
          <w:rFonts w:ascii="Arial" w:hAnsi="Arial" w:cs="Arial"/>
          <w:sz w:val="20"/>
          <w:szCs w:val="20"/>
        </w:rPr>
        <w:t>-</w:t>
      </w:r>
      <w:proofErr w:type="gramStart"/>
      <w:r w:rsidR="007A1659" w:rsidRPr="00B63DC7">
        <w:rPr>
          <w:rFonts w:ascii="Arial" w:hAnsi="Arial" w:cs="Arial"/>
          <w:sz w:val="20"/>
          <w:szCs w:val="20"/>
        </w:rPr>
        <w:t>2023</w:t>
      </w:r>
      <w:r w:rsidR="004413E4" w:rsidRPr="00B63DC7">
        <w:rPr>
          <w:rFonts w:ascii="Arial" w:hAnsi="Arial" w:cs="Arial"/>
          <w:sz w:val="20"/>
          <w:szCs w:val="20"/>
        </w:rPr>
        <w:t xml:space="preserve"> </w:t>
      </w:r>
      <w:r w:rsidRPr="005A2734">
        <w:rPr>
          <w:rFonts w:ascii="Arial" w:hAnsi="Arial" w:cs="Arial"/>
          <w:sz w:val="20"/>
          <w:szCs w:val="20"/>
        </w:rPr>
        <w:t>.</w:t>
      </w:r>
      <w:proofErr w:type="gramEnd"/>
    </w:p>
    <w:p w14:paraId="3F30F2D2" w14:textId="61EDE53F" w:rsidR="005A2734" w:rsidRPr="00B63DC7" w:rsidRDefault="005A2734" w:rsidP="006913EE">
      <w:pPr>
        <w:ind w:firstLine="708"/>
        <w:rPr>
          <w:rFonts w:ascii="Arial" w:hAnsi="Arial" w:cs="Arial"/>
          <w:b/>
          <w:bCs/>
          <w:sz w:val="20"/>
          <w:szCs w:val="20"/>
        </w:rPr>
      </w:pPr>
      <w:r w:rsidRPr="00B63DC7">
        <w:rPr>
          <w:rFonts w:ascii="Arial" w:hAnsi="Arial" w:cs="Arial"/>
          <w:b/>
          <w:bCs/>
          <w:sz w:val="20"/>
          <w:szCs w:val="20"/>
        </w:rPr>
        <w:t xml:space="preserve">Criterio de inclusión </w:t>
      </w:r>
    </w:p>
    <w:p w14:paraId="19A1B6AD" w14:textId="584635B9" w:rsidR="005A2734" w:rsidRPr="005A2734" w:rsidRDefault="005A2734" w:rsidP="006913EE">
      <w:pPr>
        <w:ind w:firstLine="708"/>
        <w:rPr>
          <w:rFonts w:ascii="Arial" w:hAnsi="Arial" w:cs="Arial"/>
          <w:sz w:val="20"/>
          <w:szCs w:val="20"/>
        </w:rPr>
      </w:pPr>
      <w:r w:rsidRPr="005A2734">
        <w:rPr>
          <w:rFonts w:ascii="Arial" w:hAnsi="Arial" w:cs="Arial"/>
          <w:sz w:val="20"/>
          <w:szCs w:val="20"/>
        </w:rPr>
        <w:t>Prematuros menores de 32 semanas y /o peso menor de 1500 g</w:t>
      </w:r>
      <w:r w:rsidR="004413E4" w:rsidRPr="00B63DC7">
        <w:rPr>
          <w:rFonts w:ascii="Arial" w:hAnsi="Arial" w:cs="Arial"/>
          <w:sz w:val="20"/>
          <w:szCs w:val="20"/>
        </w:rPr>
        <w:t>, de ambos sexos</w:t>
      </w:r>
      <w:r w:rsidRPr="005A2734">
        <w:rPr>
          <w:rFonts w:ascii="Arial" w:hAnsi="Arial" w:cs="Arial"/>
          <w:sz w:val="20"/>
          <w:szCs w:val="20"/>
        </w:rPr>
        <w:t>.</w:t>
      </w:r>
    </w:p>
    <w:p w14:paraId="11D184EB" w14:textId="6BF5F993" w:rsidR="005A2734" w:rsidRPr="00B63DC7" w:rsidRDefault="005A2734" w:rsidP="006913EE">
      <w:pPr>
        <w:ind w:firstLine="708"/>
        <w:rPr>
          <w:rFonts w:ascii="Arial" w:hAnsi="Arial" w:cs="Arial"/>
          <w:b/>
          <w:bCs/>
          <w:sz w:val="20"/>
          <w:szCs w:val="20"/>
        </w:rPr>
      </w:pPr>
      <w:r w:rsidRPr="00B63DC7">
        <w:rPr>
          <w:rFonts w:ascii="Arial" w:hAnsi="Arial" w:cs="Arial"/>
          <w:b/>
          <w:bCs/>
          <w:sz w:val="20"/>
          <w:szCs w:val="20"/>
        </w:rPr>
        <w:t xml:space="preserve">Criterios de exclusión </w:t>
      </w:r>
    </w:p>
    <w:p w14:paraId="56747436" w14:textId="5C99A301" w:rsidR="005A2734" w:rsidRDefault="006913EE" w:rsidP="006913EE">
      <w:pPr>
        <w:ind w:left="708"/>
        <w:rPr>
          <w:rFonts w:ascii="Arial" w:hAnsi="Arial" w:cs="Arial"/>
          <w:sz w:val="20"/>
          <w:szCs w:val="20"/>
        </w:rPr>
      </w:pPr>
      <w:r w:rsidRPr="00B63DC7">
        <w:rPr>
          <w:rFonts w:ascii="Arial" w:hAnsi="Arial" w:cs="Arial"/>
          <w:sz w:val="20"/>
          <w:szCs w:val="20"/>
        </w:rPr>
        <w:t>Prematuros que r</w:t>
      </w:r>
      <w:r w:rsidR="005A2734" w:rsidRPr="005A2734">
        <w:rPr>
          <w:rFonts w:ascii="Arial" w:hAnsi="Arial" w:cs="Arial"/>
          <w:sz w:val="20"/>
          <w:szCs w:val="20"/>
        </w:rPr>
        <w:t>ecibieron calostro de 1 a 4 días</w:t>
      </w:r>
      <w:r w:rsidR="004413E4" w:rsidRPr="00B63DC7">
        <w:rPr>
          <w:rFonts w:ascii="Arial" w:hAnsi="Arial" w:cs="Arial"/>
          <w:sz w:val="20"/>
          <w:szCs w:val="20"/>
        </w:rPr>
        <w:t>, p</w:t>
      </w:r>
      <w:r w:rsidR="005A2734" w:rsidRPr="00B63DC7">
        <w:rPr>
          <w:rFonts w:ascii="Arial" w:hAnsi="Arial" w:cs="Arial"/>
          <w:sz w:val="20"/>
          <w:szCs w:val="20"/>
        </w:rPr>
        <w:t>rematuros</w:t>
      </w:r>
      <w:r w:rsidRPr="00B63DC7">
        <w:rPr>
          <w:rFonts w:ascii="Arial" w:hAnsi="Arial" w:cs="Arial"/>
          <w:sz w:val="20"/>
          <w:szCs w:val="20"/>
        </w:rPr>
        <w:t xml:space="preserve"> </w:t>
      </w:r>
      <w:r w:rsidR="005A2734" w:rsidRPr="00B63DC7">
        <w:rPr>
          <w:rFonts w:ascii="Arial" w:hAnsi="Arial" w:cs="Arial"/>
          <w:sz w:val="20"/>
          <w:szCs w:val="20"/>
        </w:rPr>
        <w:t>que</w:t>
      </w:r>
      <w:r w:rsidR="00936783">
        <w:rPr>
          <w:rFonts w:ascii="Arial" w:hAnsi="Arial" w:cs="Arial"/>
          <w:sz w:val="20"/>
          <w:szCs w:val="20"/>
        </w:rPr>
        <w:t xml:space="preserve"> </w:t>
      </w:r>
      <w:r w:rsidR="005A2734" w:rsidRPr="00B63DC7">
        <w:rPr>
          <w:rFonts w:ascii="Arial" w:hAnsi="Arial" w:cs="Arial"/>
          <w:sz w:val="20"/>
          <w:szCs w:val="20"/>
        </w:rPr>
        <w:t>presentan</w:t>
      </w:r>
      <w:r w:rsidRPr="00B63DC7">
        <w:rPr>
          <w:rFonts w:ascii="Arial" w:hAnsi="Arial" w:cs="Arial"/>
          <w:sz w:val="20"/>
          <w:szCs w:val="20"/>
        </w:rPr>
        <w:t xml:space="preserve"> </w:t>
      </w:r>
      <w:r w:rsidR="005A2734" w:rsidRPr="00B63DC7">
        <w:rPr>
          <w:rFonts w:ascii="Arial" w:hAnsi="Arial" w:cs="Arial"/>
          <w:sz w:val="20"/>
          <w:szCs w:val="20"/>
        </w:rPr>
        <w:t>cromosomopatías</w:t>
      </w:r>
      <w:r w:rsidRPr="00B63DC7">
        <w:rPr>
          <w:rFonts w:ascii="Arial" w:hAnsi="Arial" w:cs="Arial"/>
          <w:sz w:val="20"/>
          <w:szCs w:val="20"/>
        </w:rPr>
        <w:t xml:space="preserve"> </w:t>
      </w:r>
      <w:r w:rsidR="005A2734" w:rsidRPr="00B63DC7">
        <w:rPr>
          <w:rFonts w:ascii="Arial" w:hAnsi="Arial" w:cs="Arial"/>
          <w:sz w:val="20"/>
          <w:szCs w:val="20"/>
        </w:rPr>
        <w:t>y/o malformaciones congénitas severas</w:t>
      </w:r>
      <w:r w:rsidR="004413E4" w:rsidRPr="00B63DC7">
        <w:rPr>
          <w:rFonts w:ascii="Arial" w:hAnsi="Arial" w:cs="Arial"/>
          <w:sz w:val="20"/>
          <w:szCs w:val="20"/>
        </w:rPr>
        <w:t>.</w:t>
      </w:r>
    </w:p>
    <w:p w14:paraId="0D0F38C7" w14:textId="350623E0" w:rsidR="00936783" w:rsidRPr="00B63DC7" w:rsidRDefault="00936783" w:rsidP="006913EE">
      <w:pPr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Calostro: </w:t>
      </w:r>
      <w:r w:rsidR="009E50A3">
        <w:rPr>
          <w:rFonts w:ascii="Arial" w:hAnsi="Arial" w:cs="Arial"/>
          <w:sz w:val="20"/>
          <w:szCs w:val="20"/>
        </w:rPr>
        <w:t>se consideró</w:t>
      </w:r>
      <w:r>
        <w:rPr>
          <w:rFonts w:ascii="Arial" w:hAnsi="Arial" w:cs="Arial"/>
          <w:sz w:val="20"/>
          <w:szCs w:val="20"/>
        </w:rPr>
        <w:t xml:space="preserve"> el uso de calostro según </w:t>
      </w:r>
      <w:r w:rsidR="009E50A3">
        <w:rPr>
          <w:rFonts w:ascii="Arial" w:hAnsi="Arial" w:cs="Arial"/>
          <w:sz w:val="20"/>
          <w:szCs w:val="20"/>
        </w:rPr>
        <w:t>protocolo</w:t>
      </w:r>
      <w:r>
        <w:rPr>
          <w:rFonts w:ascii="Arial" w:hAnsi="Arial" w:cs="Arial"/>
          <w:sz w:val="20"/>
          <w:szCs w:val="20"/>
        </w:rPr>
        <w:t xml:space="preserve"> 0.2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cc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="009E50A3">
        <w:rPr>
          <w:rFonts w:ascii="Arial" w:hAnsi="Arial" w:cs="Arial"/>
          <w:sz w:val="20"/>
          <w:szCs w:val="20"/>
        </w:rPr>
        <w:t xml:space="preserve"> en</w:t>
      </w:r>
      <w:proofErr w:type="gramEnd"/>
      <w:r w:rsidR="009E50A3">
        <w:rPr>
          <w:rFonts w:ascii="Arial" w:hAnsi="Arial" w:cs="Arial"/>
          <w:sz w:val="20"/>
          <w:szCs w:val="20"/>
        </w:rPr>
        <w:t xml:space="preserve"> carrillo yugal cada 4 horas por 5 a 10 días</w:t>
      </w:r>
    </w:p>
    <w:p w14:paraId="6A3F955B" w14:textId="77777777" w:rsidR="00015EBB" w:rsidRPr="00B63DC7" w:rsidRDefault="00015EBB" w:rsidP="006913EE">
      <w:pPr>
        <w:ind w:left="708"/>
        <w:rPr>
          <w:rFonts w:ascii="Arial" w:hAnsi="Arial" w:cs="Arial"/>
          <w:sz w:val="20"/>
          <w:szCs w:val="20"/>
        </w:rPr>
      </w:pPr>
    </w:p>
    <w:p w14:paraId="675D0033" w14:textId="77777777" w:rsidR="00030617" w:rsidRPr="00B63DC7" w:rsidRDefault="006913EE" w:rsidP="006913EE">
      <w:pPr>
        <w:rPr>
          <w:rFonts w:ascii="Arial" w:hAnsi="Arial" w:cs="Arial"/>
          <w:b/>
          <w:bCs/>
          <w:sz w:val="20"/>
          <w:szCs w:val="20"/>
        </w:rPr>
      </w:pPr>
      <w:r w:rsidRPr="00B63DC7">
        <w:rPr>
          <w:rFonts w:ascii="Arial" w:hAnsi="Arial" w:cs="Arial"/>
          <w:b/>
          <w:bCs/>
          <w:sz w:val="20"/>
          <w:szCs w:val="20"/>
        </w:rPr>
        <w:t xml:space="preserve">3.- </w:t>
      </w:r>
      <w:r w:rsidR="00D47DE6" w:rsidRPr="00B63DC7">
        <w:rPr>
          <w:rFonts w:ascii="Arial" w:hAnsi="Arial" w:cs="Arial"/>
          <w:b/>
          <w:bCs/>
          <w:sz w:val="20"/>
          <w:szCs w:val="20"/>
        </w:rPr>
        <w:t>Resultados</w:t>
      </w:r>
    </w:p>
    <w:p w14:paraId="17F6BE69" w14:textId="1AC41D09" w:rsidR="00030617" w:rsidRPr="00B63DC7" w:rsidRDefault="00030617" w:rsidP="006913EE">
      <w:pPr>
        <w:rPr>
          <w:rFonts w:ascii="Arial" w:hAnsi="Arial" w:cs="Arial"/>
          <w:b/>
          <w:bCs/>
          <w:sz w:val="20"/>
          <w:szCs w:val="20"/>
        </w:rPr>
      </w:pPr>
      <w:r w:rsidRPr="00B63DC7">
        <w:rPr>
          <w:rFonts w:ascii="Arial" w:hAnsi="Arial" w:cs="Arial"/>
          <w:b/>
          <w:bCs/>
          <w:sz w:val="20"/>
          <w:szCs w:val="20"/>
        </w:rPr>
        <w:tab/>
      </w:r>
      <w:r w:rsidRPr="00B63DC7">
        <w:rPr>
          <w:rFonts w:ascii="Arial" w:hAnsi="Arial" w:cs="Arial"/>
          <w:b/>
          <w:bCs/>
          <w:sz w:val="20"/>
          <w:szCs w:val="20"/>
        </w:rPr>
        <w:tab/>
      </w:r>
      <w:r w:rsidRPr="00B63DC7">
        <w:rPr>
          <w:rFonts w:ascii="Arial" w:hAnsi="Arial" w:cs="Arial"/>
          <w:b/>
          <w:bCs/>
          <w:sz w:val="20"/>
          <w:szCs w:val="20"/>
        </w:rPr>
        <w:tab/>
      </w:r>
      <w:r w:rsidRPr="00B63DC7">
        <w:rPr>
          <w:rFonts w:ascii="Arial" w:hAnsi="Arial" w:cs="Arial"/>
          <w:b/>
          <w:bCs/>
          <w:sz w:val="20"/>
          <w:szCs w:val="20"/>
        </w:rPr>
        <w:tab/>
      </w:r>
      <w:r w:rsidRPr="00B63DC7">
        <w:rPr>
          <w:rFonts w:ascii="Arial" w:hAnsi="Arial" w:cs="Arial"/>
          <w:b/>
          <w:bCs/>
          <w:sz w:val="20"/>
          <w:szCs w:val="20"/>
        </w:rPr>
        <w:tab/>
      </w:r>
      <w:r w:rsidRPr="00B63DC7">
        <w:rPr>
          <w:rFonts w:ascii="Arial" w:hAnsi="Arial" w:cs="Arial"/>
          <w:b/>
          <w:bCs/>
          <w:sz w:val="20"/>
          <w:szCs w:val="20"/>
        </w:rPr>
        <w:tab/>
      </w:r>
      <w:r w:rsidRPr="00B63DC7">
        <w:rPr>
          <w:rFonts w:ascii="Arial" w:hAnsi="Arial" w:cs="Arial"/>
          <w:b/>
          <w:bCs/>
          <w:sz w:val="20"/>
          <w:szCs w:val="20"/>
        </w:rPr>
        <w:tab/>
        <w:t>RELACION CALOSTRO Y MORBI</w:t>
      </w:r>
      <w:r w:rsidR="0055193A" w:rsidRPr="00B63DC7">
        <w:rPr>
          <w:rFonts w:ascii="Arial" w:hAnsi="Arial" w:cs="Arial"/>
          <w:b/>
          <w:bCs/>
          <w:sz w:val="20"/>
          <w:szCs w:val="20"/>
        </w:rPr>
        <w:t xml:space="preserve">MORTALIDAD </w:t>
      </w:r>
      <w:r w:rsidRPr="00B63DC7">
        <w:rPr>
          <w:rFonts w:ascii="Arial" w:hAnsi="Arial" w:cs="Arial"/>
          <w:b/>
          <w:bCs/>
          <w:sz w:val="20"/>
          <w:szCs w:val="20"/>
        </w:rPr>
        <w:t>NEONATAL</w:t>
      </w:r>
      <w:r w:rsidR="00015EBB" w:rsidRPr="00B63DC7">
        <w:rPr>
          <w:rFonts w:ascii="Arial" w:hAnsi="Arial" w:cs="Arial"/>
          <w:b/>
          <w:bCs/>
          <w:sz w:val="20"/>
          <w:szCs w:val="20"/>
        </w:rPr>
        <w:tab/>
      </w:r>
    </w:p>
    <w:p w14:paraId="4592EFA7" w14:textId="3100B202" w:rsidR="000B76B2" w:rsidRPr="00B63DC7" w:rsidRDefault="000B76B2" w:rsidP="006913EE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aconcuadrcula"/>
        <w:tblW w:w="0" w:type="auto"/>
        <w:tblInd w:w="3273" w:type="dxa"/>
        <w:tblLook w:val="04A0" w:firstRow="1" w:lastRow="0" w:firstColumn="1" w:lastColumn="0" w:noHBand="0" w:noVBand="1"/>
      </w:tblPr>
      <w:tblGrid>
        <w:gridCol w:w="1796"/>
        <w:gridCol w:w="1160"/>
        <w:gridCol w:w="1140"/>
        <w:gridCol w:w="1125"/>
      </w:tblGrid>
      <w:tr w:rsidR="007A1659" w:rsidRPr="00B63DC7" w14:paraId="0F9095A1" w14:textId="77777777" w:rsidTr="0055193A">
        <w:tc>
          <w:tcPr>
            <w:tcW w:w="2123" w:type="dxa"/>
          </w:tcPr>
          <w:p w14:paraId="4470CE3B" w14:textId="71EBC570" w:rsidR="007A1659" w:rsidRPr="00B63DC7" w:rsidRDefault="007A1659" w:rsidP="006913E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63DC7">
              <w:rPr>
                <w:rFonts w:ascii="Arial" w:hAnsi="Arial" w:cs="Arial"/>
                <w:b/>
                <w:bCs/>
                <w:sz w:val="20"/>
                <w:szCs w:val="20"/>
              </w:rPr>
              <w:t>Morbilidad</w:t>
            </w:r>
          </w:p>
        </w:tc>
        <w:tc>
          <w:tcPr>
            <w:tcW w:w="2123" w:type="dxa"/>
          </w:tcPr>
          <w:p w14:paraId="36A48374" w14:textId="3DC78D7A" w:rsidR="007A1659" w:rsidRPr="00B63DC7" w:rsidRDefault="007A1659" w:rsidP="006913EE">
            <w:pPr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</w:pPr>
            <w:r w:rsidRPr="00B63DC7">
              <w:rPr>
                <w:rFonts w:ascii="Arial" w:hAnsi="Arial" w:cs="Arial"/>
                <w:b/>
                <w:bCs/>
                <w:sz w:val="20"/>
                <w:szCs w:val="20"/>
              </w:rPr>
              <w:t>p-valor</w:t>
            </w:r>
            <w:r w:rsidRPr="00B63DC7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2124" w:type="dxa"/>
          </w:tcPr>
          <w:p w14:paraId="6053C0B2" w14:textId="6C35B188" w:rsidR="007A1659" w:rsidRPr="00B63DC7" w:rsidRDefault="007A1659" w:rsidP="006913E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63DC7">
              <w:rPr>
                <w:rFonts w:ascii="Arial" w:hAnsi="Arial" w:cs="Arial"/>
                <w:b/>
                <w:bCs/>
                <w:sz w:val="20"/>
                <w:szCs w:val="20"/>
              </w:rPr>
              <w:t>a OR (IC 95%)</w:t>
            </w:r>
          </w:p>
        </w:tc>
        <w:tc>
          <w:tcPr>
            <w:tcW w:w="2124" w:type="dxa"/>
          </w:tcPr>
          <w:p w14:paraId="0814586A" w14:textId="42CCC220" w:rsidR="007A1659" w:rsidRPr="00B63DC7" w:rsidRDefault="007A1659" w:rsidP="006913EE">
            <w:pPr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</w:pPr>
            <w:r w:rsidRPr="00B63DC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p-valor </w:t>
            </w:r>
            <w:r w:rsidRPr="00B63DC7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</w:tr>
      <w:tr w:rsidR="007A1659" w:rsidRPr="00B63DC7" w14:paraId="447B1FC2" w14:textId="77777777" w:rsidTr="0055193A">
        <w:tc>
          <w:tcPr>
            <w:tcW w:w="2123" w:type="dxa"/>
          </w:tcPr>
          <w:p w14:paraId="38C90107" w14:textId="79A0454A" w:rsidR="007A1659" w:rsidRPr="00B63DC7" w:rsidRDefault="0055193A" w:rsidP="006913EE">
            <w:pPr>
              <w:rPr>
                <w:rFonts w:ascii="Arial" w:hAnsi="Arial" w:cs="Arial"/>
                <w:sz w:val="20"/>
                <w:szCs w:val="20"/>
              </w:rPr>
            </w:pPr>
            <w:r w:rsidRPr="00B63DC7">
              <w:rPr>
                <w:rFonts w:ascii="Arial" w:hAnsi="Arial" w:cs="Arial"/>
                <w:sz w:val="20"/>
                <w:szCs w:val="20"/>
              </w:rPr>
              <w:t>Ausencia de d</w:t>
            </w:r>
            <w:r w:rsidR="007A1659" w:rsidRPr="00B63DC7">
              <w:rPr>
                <w:rFonts w:ascii="Arial" w:hAnsi="Arial" w:cs="Arial"/>
                <w:sz w:val="20"/>
                <w:szCs w:val="20"/>
              </w:rPr>
              <w:t>isplasia broncopulmonar</w:t>
            </w:r>
            <w:r w:rsidR="00604B79" w:rsidRPr="00B63DC7">
              <w:rPr>
                <w:rFonts w:ascii="Arial" w:hAnsi="Arial" w:cs="Arial"/>
                <w:sz w:val="20"/>
                <w:szCs w:val="20"/>
              </w:rPr>
              <w:t xml:space="preserve"> (DBP)</w:t>
            </w:r>
          </w:p>
        </w:tc>
        <w:tc>
          <w:tcPr>
            <w:tcW w:w="2123" w:type="dxa"/>
          </w:tcPr>
          <w:p w14:paraId="12394495" w14:textId="418CC5EC" w:rsidR="007A1659" w:rsidRPr="00B63DC7" w:rsidRDefault="007A1659" w:rsidP="006913EE">
            <w:pPr>
              <w:rPr>
                <w:rFonts w:ascii="Arial" w:hAnsi="Arial" w:cs="Arial"/>
                <w:sz w:val="20"/>
                <w:szCs w:val="20"/>
              </w:rPr>
            </w:pPr>
            <w:r w:rsidRPr="00B63DC7">
              <w:rPr>
                <w:rFonts w:ascii="Arial" w:hAnsi="Arial" w:cs="Arial"/>
                <w:sz w:val="20"/>
                <w:szCs w:val="20"/>
              </w:rPr>
              <w:t>0.03</w:t>
            </w:r>
          </w:p>
        </w:tc>
        <w:tc>
          <w:tcPr>
            <w:tcW w:w="2124" w:type="dxa"/>
          </w:tcPr>
          <w:p w14:paraId="3A08D634" w14:textId="707B9AD6" w:rsidR="007A1659" w:rsidRPr="00B63DC7" w:rsidRDefault="007A1659" w:rsidP="006913EE">
            <w:pPr>
              <w:rPr>
                <w:rFonts w:ascii="Arial" w:hAnsi="Arial" w:cs="Arial"/>
                <w:sz w:val="20"/>
                <w:szCs w:val="20"/>
              </w:rPr>
            </w:pPr>
            <w:r w:rsidRPr="00B63DC7">
              <w:rPr>
                <w:rFonts w:ascii="Arial" w:hAnsi="Arial" w:cs="Arial"/>
                <w:sz w:val="20"/>
                <w:szCs w:val="20"/>
                <w:highlight w:val="yellow"/>
              </w:rPr>
              <w:t>2.13</w:t>
            </w:r>
            <w:r w:rsidRPr="00B63DC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5193A" w:rsidRPr="00B63DC7">
              <w:rPr>
                <w:rFonts w:ascii="Arial" w:hAnsi="Arial" w:cs="Arial"/>
                <w:sz w:val="20"/>
                <w:szCs w:val="20"/>
              </w:rPr>
              <w:t>(0.53</w:t>
            </w:r>
            <w:r w:rsidRPr="00B63DC7">
              <w:rPr>
                <w:rFonts w:ascii="Arial" w:hAnsi="Arial" w:cs="Arial"/>
                <w:sz w:val="20"/>
                <w:szCs w:val="20"/>
              </w:rPr>
              <w:t>-6.3)</w:t>
            </w:r>
          </w:p>
        </w:tc>
        <w:tc>
          <w:tcPr>
            <w:tcW w:w="2124" w:type="dxa"/>
          </w:tcPr>
          <w:p w14:paraId="000E6D13" w14:textId="569137F2" w:rsidR="007A1659" w:rsidRPr="00B63DC7" w:rsidRDefault="007A1659" w:rsidP="006913EE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B63DC7">
              <w:rPr>
                <w:rFonts w:ascii="Arial" w:hAnsi="Arial" w:cs="Arial"/>
                <w:sz w:val="20"/>
                <w:szCs w:val="20"/>
                <w:highlight w:val="yellow"/>
              </w:rPr>
              <w:t>0.024</w:t>
            </w:r>
          </w:p>
        </w:tc>
      </w:tr>
      <w:tr w:rsidR="007A1659" w:rsidRPr="00B63DC7" w14:paraId="5E0D1698" w14:textId="77777777" w:rsidTr="0055193A">
        <w:tc>
          <w:tcPr>
            <w:tcW w:w="2123" w:type="dxa"/>
          </w:tcPr>
          <w:p w14:paraId="427E359C" w14:textId="7FB70E84" w:rsidR="007A1659" w:rsidRPr="00B63DC7" w:rsidRDefault="0055193A" w:rsidP="006913EE">
            <w:pPr>
              <w:rPr>
                <w:rFonts w:ascii="Arial" w:hAnsi="Arial" w:cs="Arial"/>
                <w:sz w:val="20"/>
                <w:szCs w:val="20"/>
              </w:rPr>
            </w:pPr>
            <w:r w:rsidRPr="00B63DC7">
              <w:rPr>
                <w:rFonts w:ascii="Arial" w:hAnsi="Arial" w:cs="Arial"/>
                <w:sz w:val="20"/>
                <w:szCs w:val="20"/>
              </w:rPr>
              <w:t>Ausencia de e</w:t>
            </w:r>
            <w:r w:rsidRPr="00B63DC7">
              <w:rPr>
                <w:rFonts w:ascii="Arial" w:hAnsi="Arial" w:cs="Arial"/>
                <w:sz w:val="20"/>
                <w:szCs w:val="20"/>
              </w:rPr>
              <w:t>nterocolitis necrotizante</w:t>
            </w:r>
            <w:r w:rsidR="00604B79" w:rsidRPr="00B63DC7">
              <w:rPr>
                <w:rFonts w:ascii="Arial" w:hAnsi="Arial" w:cs="Arial"/>
                <w:sz w:val="20"/>
                <w:szCs w:val="20"/>
              </w:rPr>
              <w:t xml:space="preserve"> (NEC)</w:t>
            </w:r>
          </w:p>
        </w:tc>
        <w:tc>
          <w:tcPr>
            <w:tcW w:w="2123" w:type="dxa"/>
          </w:tcPr>
          <w:p w14:paraId="7EDB8ADE" w14:textId="475A0CEA" w:rsidR="007A1659" w:rsidRPr="00B63DC7" w:rsidRDefault="0055193A" w:rsidP="006913EE">
            <w:pPr>
              <w:rPr>
                <w:rFonts w:ascii="Arial" w:hAnsi="Arial" w:cs="Arial"/>
                <w:sz w:val="20"/>
                <w:szCs w:val="20"/>
              </w:rPr>
            </w:pPr>
            <w:r w:rsidRPr="00B63DC7">
              <w:rPr>
                <w:rFonts w:ascii="Arial" w:hAnsi="Arial" w:cs="Arial"/>
                <w:sz w:val="20"/>
                <w:szCs w:val="20"/>
              </w:rPr>
              <w:t>0.02</w:t>
            </w:r>
          </w:p>
        </w:tc>
        <w:tc>
          <w:tcPr>
            <w:tcW w:w="2124" w:type="dxa"/>
          </w:tcPr>
          <w:p w14:paraId="476B67C0" w14:textId="1F5BF4B3" w:rsidR="007A1659" w:rsidRPr="00B63DC7" w:rsidRDefault="0055193A" w:rsidP="006913EE">
            <w:pPr>
              <w:rPr>
                <w:rFonts w:ascii="Arial" w:hAnsi="Arial" w:cs="Arial"/>
                <w:sz w:val="20"/>
                <w:szCs w:val="20"/>
              </w:rPr>
            </w:pPr>
            <w:r w:rsidRPr="00B63DC7">
              <w:rPr>
                <w:rFonts w:ascii="Arial" w:hAnsi="Arial" w:cs="Arial"/>
                <w:sz w:val="20"/>
                <w:szCs w:val="20"/>
                <w:highlight w:val="yellow"/>
              </w:rPr>
              <w:t>2.1 (</w:t>
            </w:r>
            <w:r w:rsidRPr="00B63DC7">
              <w:rPr>
                <w:rFonts w:ascii="Arial" w:hAnsi="Arial" w:cs="Arial"/>
                <w:sz w:val="20"/>
                <w:szCs w:val="20"/>
              </w:rPr>
              <w:t>0.84-5.3)</w:t>
            </w:r>
          </w:p>
        </w:tc>
        <w:tc>
          <w:tcPr>
            <w:tcW w:w="2124" w:type="dxa"/>
          </w:tcPr>
          <w:p w14:paraId="7E780963" w14:textId="0AE9BB24" w:rsidR="007A1659" w:rsidRPr="00B63DC7" w:rsidRDefault="0055193A" w:rsidP="006913EE">
            <w:pPr>
              <w:rPr>
                <w:rFonts w:ascii="Arial" w:hAnsi="Arial" w:cs="Arial"/>
                <w:sz w:val="20"/>
                <w:szCs w:val="20"/>
              </w:rPr>
            </w:pPr>
            <w:r w:rsidRPr="00B63DC7">
              <w:rPr>
                <w:rFonts w:ascii="Arial" w:hAnsi="Arial" w:cs="Arial"/>
                <w:sz w:val="20"/>
                <w:szCs w:val="20"/>
                <w:highlight w:val="yellow"/>
              </w:rPr>
              <w:t>0.036</w:t>
            </w:r>
          </w:p>
        </w:tc>
      </w:tr>
      <w:tr w:rsidR="007A1659" w:rsidRPr="00B63DC7" w14:paraId="3E8F6D42" w14:textId="77777777" w:rsidTr="0055193A">
        <w:tc>
          <w:tcPr>
            <w:tcW w:w="2123" w:type="dxa"/>
          </w:tcPr>
          <w:p w14:paraId="3728BA55" w14:textId="52905D5E" w:rsidR="007A1659" w:rsidRPr="00B63DC7" w:rsidRDefault="0055193A" w:rsidP="006913EE">
            <w:pPr>
              <w:rPr>
                <w:rFonts w:ascii="Arial" w:hAnsi="Arial" w:cs="Arial"/>
                <w:sz w:val="20"/>
                <w:szCs w:val="20"/>
              </w:rPr>
            </w:pPr>
            <w:r w:rsidRPr="00B63DC7">
              <w:rPr>
                <w:rFonts w:ascii="Arial" w:hAnsi="Arial" w:cs="Arial"/>
                <w:sz w:val="20"/>
                <w:szCs w:val="20"/>
              </w:rPr>
              <w:t>Ausencia de r</w:t>
            </w:r>
            <w:r w:rsidRPr="00B63DC7">
              <w:rPr>
                <w:rFonts w:ascii="Arial" w:hAnsi="Arial" w:cs="Arial"/>
                <w:sz w:val="20"/>
                <w:szCs w:val="20"/>
              </w:rPr>
              <w:t>etinopatía del prematuro</w:t>
            </w:r>
            <w:r w:rsidR="00604B79" w:rsidRPr="00B63DC7">
              <w:rPr>
                <w:rFonts w:ascii="Arial" w:hAnsi="Arial" w:cs="Arial"/>
                <w:sz w:val="20"/>
                <w:szCs w:val="20"/>
              </w:rPr>
              <w:t xml:space="preserve"> (ROP)</w:t>
            </w:r>
          </w:p>
        </w:tc>
        <w:tc>
          <w:tcPr>
            <w:tcW w:w="2123" w:type="dxa"/>
          </w:tcPr>
          <w:p w14:paraId="3081250C" w14:textId="40BBC3B6" w:rsidR="007A1659" w:rsidRPr="00B63DC7" w:rsidRDefault="0055193A" w:rsidP="006913EE">
            <w:pPr>
              <w:rPr>
                <w:rFonts w:ascii="Arial" w:hAnsi="Arial" w:cs="Arial"/>
                <w:sz w:val="20"/>
                <w:szCs w:val="20"/>
              </w:rPr>
            </w:pPr>
            <w:r w:rsidRPr="00B63DC7">
              <w:rPr>
                <w:rFonts w:ascii="Arial" w:hAnsi="Arial" w:cs="Arial"/>
                <w:sz w:val="20"/>
                <w:szCs w:val="20"/>
              </w:rPr>
              <w:t>0.43</w:t>
            </w:r>
          </w:p>
        </w:tc>
        <w:tc>
          <w:tcPr>
            <w:tcW w:w="2124" w:type="dxa"/>
          </w:tcPr>
          <w:p w14:paraId="657712DA" w14:textId="77777777" w:rsidR="007A1659" w:rsidRPr="00B63DC7" w:rsidRDefault="007A1659" w:rsidP="006913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4" w:type="dxa"/>
          </w:tcPr>
          <w:p w14:paraId="241B18B4" w14:textId="57CA7034" w:rsidR="007A1659" w:rsidRPr="00B63DC7" w:rsidRDefault="0055193A" w:rsidP="006913EE">
            <w:pPr>
              <w:rPr>
                <w:rFonts w:ascii="Arial" w:hAnsi="Arial" w:cs="Arial"/>
                <w:sz w:val="20"/>
                <w:szCs w:val="20"/>
              </w:rPr>
            </w:pPr>
            <w:r w:rsidRPr="00B63DC7">
              <w:rPr>
                <w:rFonts w:ascii="Arial" w:hAnsi="Arial" w:cs="Arial"/>
                <w:sz w:val="20"/>
                <w:szCs w:val="20"/>
              </w:rPr>
              <w:t>0.67</w:t>
            </w:r>
          </w:p>
        </w:tc>
      </w:tr>
      <w:tr w:rsidR="007A1659" w:rsidRPr="00B63DC7" w14:paraId="2FD0A40D" w14:textId="77777777" w:rsidTr="0055193A">
        <w:tc>
          <w:tcPr>
            <w:tcW w:w="2123" w:type="dxa"/>
          </w:tcPr>
          <w:p w14:paraId="1F5F5BD7" w14:textId="6481658B" w:rsidR="007A1659" w:rsidRPr="00B63DC7" w:rsidRDefault="0055193A" w:rsidP="006913EE">
            <w:pPr>
              <w:rPr>
                <w:rFonts w:ascii="Arial" w:hAnsi="Arial" w:cs="Arial"/>
                <w:sz w:val="20"/>
                <w:szCs w:val="20"/>
              </w:rPr>
            </w:pPr>
            <w:r w:rsidRPr="00B63DC7">
              <w:rPr>
                <w:rFonts w:ascii="Arial" w:hAnsi="Arial" w:cs="Arial"/>
                <w:sz w:val="20"/>
                <w:szCs w:val="20"/>
              </w:rPr>
              <w:t>Ausencia de s</w:t>
            </w:r>
            <w:r w:rsidRPr="00B63DC7">
              <w:rPr>
                <w:rFonts w:ascii="Arial" w:hAnsi="Arial" w:cs="Arial"/>
                <w:sz w:val="20"/>
                <w:szCs w:val="20"/>
              </w:rPr>
              <w:t>epsis intrahospitalaria</w:t>
            </w:r>
            <w:r w:rsidR="00604B79" w:rsidRPr="00B63DC7">
              <w:rPr>
                <w:rFonts w:ascii="Arial" w:hAnsi="Arial" w:cs="Arial"/>
                <w:sz w:val="20"/>
                <w:szCs w:val="20"/>
              </w:rPr>
              <w:t xml:space="preserve"> (SI)</w:t>
            </w:r>
          </w:p>
        </w:tc>
        <w:tc>
          <w:tcPr>
            <w:tcW w:w="2123" w:type="dxa"/>
          </w:tcPr>
          <w:p w14:paraId="2852F8EF" w14:textId="752E1366" w:rsidR="007A1659" w:rsidRPr="00B63DC7" w:rsidRDefault="0055193A" w:rsidP="006913EE">
            <w:pPr>
              <w:rPr>
                <w:rFonts w:ascii="Arial" w:hAnsi="Arial" w:cs="Arial"/>
                <w:sz w:val="20"/>
                <w:szCs w:val="20"/>
              </w:rPr>
            </w:pPr>
            <w:r w:rsidRPr="00B63DC7">
              <w:rPr>
                <w:rFonts w:ascii="Arial" w:hAnsi="Arial" w:cs="Arial"/>
                <w:sz w:val="20"/>
                <w:szCs w:val="20"/>
              </w:rPr>
              <w:t>0.57</w:t>
            </w:r>
          </w:p>
        </w:tc>
        <w:tc>
          <w:tcPr>
            <w:tcW w:w="2124" w:type="dxa"/>
          </w:tcPr>
          <w:p w14:paraId="1224BAA6" w14:textId="4435C738" w:rsidR="007A1659" w:rsidRPr="00B63DC7" w:rsidRDefault="0055193A" w:rsidP="006913EE">
            <w:pPr>
              <w:rPr>
                <w:rFonts w:ascii="Arial" w:hAnsi="Arial" w:cs="Arial"/>
                <w:sz w:val="20"/>
                <w:szCs w:val="20"/>
              </w:rPr>
            </w:pPr>
            <w:r w:rsidRPr="00B63DC7">
              <w:rPr>
                <w:rFonts w:ascii="Arial" w:hAnsi="Arial" w:cs="Arial"/>
                <w:sz w:val="20"/>
                <w:szCs w:val="20"/>
              </w:rPr>
              <w:t xml:space="preserve">0.49 </w:t>
            </w:r>
            <w:proofErr w:type="gramStart"/>
            <w:r w:rsidRPr="00B63DC7">
              <w:rPr>
                <w:rFonts w:ascii="Arial" w:hAnsi="Arial" w:cs="Arial"/>
                <w:sz w:val="20"/>
                <w:szCs w:val="20"/>
              </w:rPr>
              <w:t>( 0.13</w:t>
            </w:r>
            <w:proofErr w:type="gramEnd"/>
            <w:r w:rsidRPr="00B63DC7">
              <w:rPr>
                <w:rFonts w:ascii="Arial" w:hAnsi="Arial" w:cs="Arial"/>
                <w:sz w:val="20"/>
                <w:szCs w:val="20"/>
              </w:rPr>
              <w:t>-5.9)</w:t>
            </w:r>
          </w:p>
        </w:tc>
        <w:tc>
          <w:tcPr>
            <w:tcW w:w="2124" w:type="dxa"/>
          </w:tcPr>
          <w:p w14:paraId="26193345" w14:textId="72E0BC0F" w:rsidR="007A1659" w:rsidRPr="00B63DC7" w:rsidRDefault="0055193A" w:rsidP="006913EE">
            <w:pPr>
              <w:rPr>
                <w:rFonts w:ascii="Arial" w:hAnsi="Arial" w:cs="Arial"/>
                <w:sz w:val="20"/>
                <w:szCs w:val="20"/>
              </w:rPr>
            </w:pPr>
            <w:r w:rsidRPr="00B63DC7">
              <w:rPr>
                <w:rFonts w:ascii="Arial" w:hAnsi="Arial" w:cs="Arial"/>
                <w:sz w:val="20"/>
                <w:szCs w:val="20"/>
              </w:rPr>
              <w:t>0.63</w:t>
            </w:r>
          </w:p>
        </w:tc>
      </w:tr>
      <w:tr w:rsidR="0055193A" w:rsidRPr="00B63DC7" w14:paraId="5E795494" w14:textId="77777777" w:rsidTr="0055193A">
        <w:tc>
          <w:tcPr>
            <w:tcW w:w="2123" w:type="dxa"/>
          </w:tcPr>
          <w:p w14:paraId="72325339" w14:textId="364BD815" w:rsidR="0055193A" w:rsidRPr="00B63DC7" w:rsidRDefault="0055193A" w:rsidP="0055193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63DC7">
              <w:rPr>
                <w:rFonts w:ascii="Arial" w:hAnsi="Arial" w:cs="Arial"/>
                <w:b/>
                <w:bCs/>
                <w:sz w:val="20"/>
                <w:szCs w:val="20"/>
              </w:rPr>
              <w:t>Mortalidad</w:t>
            </w:r>
          </w:p>
        </w:tc>
        <w:tc>
          <w:tcPr>
            <w:tcW w:w="2123" w:type="dxa"/>
          </w:tcPr>
          <w:p w14:paraId="0FAF9D02" w14:textId="157E3AA4" w:rsidR="0055193A" w:rsidRPr="00B63DC7" w:rsidRDefault="0055193A" w:rsidP="0055193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63DC7">
              <w:rPr>
                <w:rFonts w:ascii="Arial" w:hAnsi="Arial" w:cs="Arial"/>
                <w:b/>
                <w:bCs/>
                <w:sz w:val="20"/>
                <w:szCs w:val="20"/>
              </w:rPr>
              <w:t>p-valor</w:t>
            </w:r>
            <w:r w:rsidRPr="00B63DC7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2124" w:type="dxa"/>
          </w:tcPr>
          <w:p w14:paraId="5F270D66" w14:textId="269C6CD7" w:rsidR="0055193A" w:rsidRPr="00B63DC7" w:rsidRDefault="0055193A" w:rsidP="0055193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63DC7">
              <w:rPr>
                <w:rFonts w:ascii="Arial" w:hAnsi="Arial" w:cs="Arial"/>
                <w:b/>
                <w:bCs/>
                <w:sz w:val="20"/>
                <w:szCs w:val="20"/>
              </w:rPr>
              <w:t>a OR (IC 95%)</w:t>
            </w:r>
          </w:p>
        </w:tc>
        <w:tc>
          <w:tcPr>
            <w:tcW w:w="2124" w:type="dxa"/>
          </w:tcPr>
          <w:p w14:paraId="7839DA51" w14:textId="5A08349E" w:rsidR="0055193A" w:rsidRPr="00B63DC7" w:rsidRDefault="0055193A" w:rsidP="0055193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63DC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p-valor </w:t>
            </w:r>
            <w:r w:rsidRPr="00B63DC7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</w:tr>
      <w:tr w:rsidR="0055193A" w:rsidRPr="00B63DC7" w14:paraId="1409A5BD" w14:textId="77777777" w:rsidTr="0055193A">
        <w:tc>
          <w:tcPr>
            <w:tcW w:w="2123" w:type="dxa"/>
          </w:tcPr>
          <w:p w14:paraId="6FAE950B" w14:textId="623B43A0" w:rsidR="0055193A" w:rsidRPr="00B63DC7" w:rsidRDefault="0055193A" w:rsidP="0055193A">
            <w:pPr>
              <w:rPr>
                <w:rFonts w:ascii="Arial" w:hAnsi="Arial" w:cs="Arial"/>
                <w:sz w:val="20"/>
                <w:szCs w:val="20"/>
              </w:rPr>
            </w:pPr>
            <w:r w:rsidRPr="00B63DC7">
              <w:rPr>
                <w:rFonts w:ascii="Arial" w:hAnsi="Arial" w:cs="Arial"/>
                <w:sz w:val="20"/>
                <w:szCs w:val="20"/>
              </w:rPr>
              <w:t>Mortalidad</w:t>
            </w:r>
          </w:p>
        </w:tc>
        <w:tc>
          <w:tcPr>
            <w:tcW w:w="2123" w:type="dxa"/>
          </w:tcPr>
          <w:p w14:paraId="1798BAB0" w14:textId="08A037F7" w:rsidR="0055193A" w:rsidRPr="00B63DC7" w:rsidRDefault="0055193A" w:rsidP="0055193A">
            <w:pPr>
              <w:rPr>
                <w:rFonts w:ascii="Arial" w:hAnsi="Arial" w:cs="Arial"/>
                <w:sz w:val="20"/>
                <w:szCs w:val="20"/>
              </w:rPr>
            </w:pPr>
            <w:r w:rsidRPr="00B63DC7">
              <w:rPr>
                <w:rFonts w:ascii="Arial" w:hAnsi="Arial" w:cs="Arial"/>
                <w:sz w:val="20"/>
                <w:szCs w:val="20"/>
              </w:rPr>
              <w:t>0.023</w:t>
            </w:r>
          </w:p>
        </w:tc>
        <w:tc>
          <w:tcPr>
            <w:tcW w:w="2124" w:type="dxa"/>
          </w:tcPr>
          <w:p w14:paraId="593EB6CC" w14:textId="169456DD" w:rsidR="0055193A" w:rsidRPr="00B63DC7" w:rsidRDefault="0055193A" w:rsidP="0055193A">
            <w:pPr>
              <w:rPr>
                <w:rFonts w:ascii="Arial" w:hAnsi="Arial" w:cs="Arial"/>
                <w:sz w:val="20"/>
                <w:szCs w:val="20"/>
              </w:rPr>
            </w:pPr>
            <w:r w:rsidRPr="00B63DC7">
              <w:rPr>
                <w:rFonts w:ascii="Arial" w:hAnsi="Arial" w:cs="Arial"/>
                <w:sz w:val="20"/>
                <w:szCs w:val="20"/>
                <w:highlight w:val="yellow"/>
              </w:rPr>
              <w:t>0.12</w:t>
            </w:r>
            <w:proofErr w:type="gramStart"/>
            <w:r w:rsidRPr="00B63DC7">
              <w:rPr>
                <w:rFonts w:ascii="Arial" w:hAnsi="Arial" w:cs="Arial"/>
                <w:sz w:val="20"/>
                <w:szCs w:val="20"/>
              </w:rPr>
              <w:t>( 0.05</w:t>
            </w:r>
            <w:proofErr w:type="gramEnd"/>
            <w:r w:rsidRPr="00B63DC7">
              <w:rPr>
                <w:rFonts w:ascii="Arial" w:hAnsi="Arial" w:cs="Arial"/>
                <w:sz w:val="20"/>
                <w:szCs w:val="20"/>
              </w:rPr>
              <w:t>- 0.87)</w:t>
            </w:r>
          </w:p>
        </w:tc>
        <w:tc>
          <w:tcPr>
            <w:tcW w:w="2124" w:type="dxa"/>
          </w:tcPr>
          <w:p w14:paraId="55F7872D" w14:textId="21B7D3FB" w:rsidR="0055193A" w:rsidRPr="00B63DC7" w:rsidRDefault="0055193A" w:rsidP="0055193A">
            <w:pPr>
              <w:rPr>
                <w:rFonts w:ascii="Arial" w:hAnsi="Arial" w:cs="Arial"/>
                <w:sz w:val="20"/>
                <w:szCs w:val="20"/>
              </w:rPr>
            </w:pPr>
            <w:r w:rsidRPr="00B63DC7">
              <w:rPr>
                <w:rFonts w:ascii="Arial" w:hAnsi="Arial" w:cs="Arial"/>
                <w:sz w:val="20"/>
                <w:szCs w:val="20"/>
                <w:highlight w:val="yellow"/>
              </w:rPr>
              <w:t>0.047</w:t>
            </w:r>
          </w:p>
        </w:tc>
      </w:tr>
      <w:tr w:rsidR="0055193A" w:rsidRPr="00B63DC7" w14:paraId="36542B56" w14:textId="77777777" w:rsidTr="0055193A">
        <w:tc>
          <w:tcPr>
            <w:tcW w:w="2123" w:type="dxa"/>
          </w:tcPr>
          <w:p w14:paraId="5127F5B6" w14:textId="77777777" w:rsidR="0055193A" w:rsidRPr="00B63DC7" w:rsidRDefault="0055193A" w:rsidP="0055193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23" w:type="dxa"/>
          </w:tcPr>
          <w:p w14:paraId="050A2DD9" w14:textId="77777777" w:rsidR="0055193A" w:rsidRPr="00B63DC7" w:rsidRDefault="0055193A" w:rsidP="0055193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24" w:type="dxa"/>
          </w:tcPr>
          <w:p w14:paraId="728D926E" w14:textId="77777777" w:rsidR="0055193A" w:rsidRPr="00B63DC7" w:rsidRDefault="0055193A" w:rsidP="0055193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24" w:type="dxa"/>
          </w:tcPr>
          <w:p w14:paraId="3C37736F" w14:textId="77777777" w:rsidR="0055193A" w:rsidRPr="00B63DC7" w:rsidRDefault="0055193A" w:rsidP="0055193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219E0917" w14:textId="6E06161C" w:rsidR="000B76B2" w:rsidRPr="00B63DC7" w:rsidRDefault="00604B79" w:rsidP="006913EE">
      <w:pPr>
        <w:rPr>
          <w:rFonts w:ascii="Arial" w:hAnsi="Arial" w:cs="Arial"/>
          <w:b/>
          <w:bCs/>
          <w:sz w:val="20"/>
          <w:szCs w:val="20"/>
        </w:rPr>
      </w:pPr>
      <w:r w:rsidRPr="00B63DC7">
        <w:rPr>
          <w:rFonts w:ascii="Arial" w:hAnsi="Arial" w:cs="Arial"/>
          <w:b/>
          <w:bCs/>
          <w:sz w:val="20"/>
          <w:szCs w:val="20"/>
        </w:rPr>
        <w:tab/>
      </w:r>
      <w:r w:rsidRPr="00B63DC7">
        <w:rPr>
          <w:rFonts w:ascii="Arial" w:hAnsi="Arial" w:cs="Arial"/>
          <w:b/>
          <w:bCs/>
          <w:sz w:val="20"/>
          <w:szCs w:val="20"/>
        </w:rPr>
        <w:tab/>
      </w:r>
      <w:r w:rsidRPr="00B63DC7">
        <w:rPr>
          <w:rFonts w:ascii="Arial" w:hAnsi="Arial" w:cs="Arial"/>
          <w:b/>
          <w:bCs/>
          <w:sz w:val="20"/>
          <w:szCs w:val="20"/>
        </w:rPr>
        <w:tab/>
      </w:r>
      <w:r w:rsidRPr="00B63DC7">
        <w:rPr>
          <w:rFonts w:ascii="Arial" w:hAnsi="Arial" w:cs="Arial"/>
          <w:b/>
          <w:bCs/>
          <w:sz w:val="20"/>
          <w:szCs w:val="20"/>
        </w:rPr>
        <w:tab/>
      </w:r>
      <w:r w:rsidRPr="00B63DC7">
        <w:rPr>
          <w:rFonts w:ascii="Arial" w:hAnsi="Arial" w:cs="Arial"/>
          <w:b/>
          <w:bCs/>
          <w:sz w:val="20"/>
          <w:szCs w:val="20"/>
        </w:rPr>
        <w:tab/>
      </w:r>
      <w:r w:rsidRPr="00B63DC7">
        <w:rPr>
          <w:rFonts w:ascii="Arial" w:hAnsi="Arial" w:cs="Arial"/>
          <w:b/>
          <w:bCs/>
          <w:sz w:val="20"/>
          <w:szCs w:val="20"/>
        </w:rPr>
        <w:tab/>
      </w:r>
      <w:r w:rsidRPr="00B63DC7">
        <w:rPr>
          <w:rFonts w:ascii="Arial" w:hAnsi="Arial" w:cs="Arial"/>
          <w:b/>
          <w:bCs/>
          <w:sz w:val="20"/>
          <w:szCs w:val="20"/>
        </w:rPr>
        <w:tab/>
      </w:r>
      <w:r w:rsidRPr="00B63DC7">
        <w:rPr>
          <w:rFonts w:ascii="Arial" w:hAnsi="Arial" w:cs="Arial"/>
          <w:b/>
          <w:bCs/>
          <w:sz w:val="20"/>
          <w:szCs w:val="20"/>
        </w:rPr>
        <w:tab/>
      </w:r>
    </w:p>
    <w:p w14:paraId="7A8B26C8" w14:textId="6FF2CF5C" w:rsidR="00604B79" w:rsidRPr="00B63DC7" w:rsidRDefault="00604B79" w:rsidP="006913EE">
      <w:pPr>
        <w:rPr>
          <w:rFonts w:ascii="Arial" w:hAnsi="Arial" w:cs="Arial"/>
          <w:b/>
          <w:bCs/>
          <w:sz w:val="20"/>
          <w:szCs w:val="20"/>
        </w:rPr>
      </w:pPr>
      <w:r w:rsidRPr="00B63DC7">
        <w:rPr>
          <w:rFonts w:ascii="Arial" w:hAnsi="Arial" w:cs="Arial"/>
          <w:b/>
          <w:bCs/>
          <w:sz w:val="20"/>
          <w:szCs w:val="20"/>
        </w:rPr>
        <w:tab/>
      </w:r>
      <w:r w:rsidRPr="00B63DC7">
        <w:rPr>
          <w:rFonts w:ascii="Arial" w:hAnsi="Arial" w:cs="Arial"/>
          <w:b/>
          <w:bCs/>
          <w:sz w:val="20"/>
          <w:szCs w:val="20"/>
        </w:rPr>
        <w:tab/>
      </w:r>
      <w:r w:rsidRPr="00B63DC7">
        <w:rPr>
          <w:rFonts w:ascii="Arial" w:hAnsi="Arial" w:cs="Arial"/>
          <w:b/>
          <w:bCs/>
          <w:sz w:val="20"/>
          <w:szCs w:val="20"/>
        </w:rPr>
        <w:tab/>
      </w:r>
      <w:r w:rsidRPr="00B63DC7">
        <w:rPr>
          <w:rFonts w:ascii="Arial" w:hAnsi="Arial" w:cs="Arial"/>
          <w:b/>
          <w:bCs/>
          <w:sz w:val="20"/>
          <w:szCs w:val="20"/>
        </w:rPr>
        <w:tab/>
      </w:r>
      <w:r w:rsidRPr="00B63DC7">
        <w:rPr>
          <w:rFonts w:ascii="Arial" w:hAnsi="Arial" w:cs="Arial"/>
          <w:b/>
          <w:bCs/>
          <w:sz w:val="20"/>
          <w:szCs w:val="20"/>
        </w:rPr>
        <w:tab/>
      </w:r>
      <w:r w:rsidRPr="00B63DC7">
        <w:rPr>
          <w:rFonts w:ascii="Arial" w:hAnsi="Arial" w:cs="Arial"/>
          <w:b/>
          <w:bCs/>
          <w:sz w:val="20"/>
          <w:szCs w:val="20"/>
        </w:rPr>
        <w:tab/>
      </w:r>
      <w:r w:rsidRPr="00B63DC7">
        <w:rPr>
          <w:rFonts w:ascii="Arial" w:hAnsi="Arial" w:cs="Arial"/>
          <w:b/>
          <w:bCs/>
          <w:sz w:val="20"/>
          <w:szCs w:val="20"/>
        </w:rPr>
        <w:tab/>
      </w:r>
      <w:r w:rsidRPr="00B63DC7">
        <w:rPr>
          <w:rFonts w:ascii="Arial" w:hAnsi="Arial" w:cs="Arial"/>
          <w:b/>
          <w:bCs/>
          <w:sz w:val="20"/>
          <w:szCs w:val="20"/>
        </w:rPr>
        <w:tab/>
        <w:t>MORTALIDAD Y CALOSTROTERAPIA</w:t>
      </w:r>
      <w:r w:rsidRPr="00B63DC7">
        <w:rPr>
          <w:rFonts w:ascii="Arial" w:hAnsi="Arial" w:cs="Arial"/>
          <w:b/>
          <w:bCs/>
          <w:sz w:val="20"/>
          <w:szCs w:val="20"/>
        </w:rPr>
        <w:tab/>
      </w:r>
      <w:r w:rsidRPr="00B63DC7">
        <w:rPr>
          <w:rFonts w:ascii="Arial" w:hAnsi="Arial" w:cs="Arial"/>
          <w:b/>
          <w:bCs/>
          <w:sz w:val="20"/>
          <w:szCs w:val="20"/>
        </w:rPr>
        <w:tab/>
      </w:r>
      <w:r w:rsidRPr="00B63DC7">
        <w:rPr>
          <w:rFonts w:ascii="Arial" w:hAnsi="Arial" w:cs="Arial"/>
          <w:b/>
          <w:bCs/>
          <w:sz w:val="20"/>
          <w:szCs w:val="20"/>
        </w:rPr>
        <w:tab/>
      </w:r>
      <w:r w:rsidRPr="00B63DC7">
        <w:rPr>
          <w:rFonts w:ascii="Arial" w:hAnsi="Arial" w:cs="Arial"/>
          <w:b/>
          <w:bCs/>
          <w:sz w:val="20"/>
          <w:szCs w:val="20"/>
        </w:rPr>
        <w:tab/>
      </w:r>
      <w:r w:rsidRPr="00B63DC7">
        <w:rPr>
          <w:rFonts w:ascii="Arial" w:hAnsi="Arial" w:cs="Arial"/>
          <w:b/>
          <w:bCs/>
          <w:sz w:val="20"/>
          <w:szCs w:val="20"/>
        </w:rPr>
        <w:tab/>
      </w:r>
    </w:p>
    <w:p w14:paraId="6416179F" w14:textId="441FE9AD" w:rsidR="00604B79" w:rsidRPr="00B63DC7" w:rsidRDefault="00604B79" w:rsidP="006913EE">
      <w:pPr>
        <w:rPr>
          <w:rFonts w:ascii="Arial" w:hAnsi="Arial" w:cs="Arial"/>
          <w:b/>
          <w:bCs/>
          <w:sz w:val="20"/>
          <w:szCs w:val="20"/>
        </w:rPr>
      </w:pPr>
    </w:p>
    <w:p w14:paraId="798CBF0E" w14:textId="77777777" w:rsidR="00604B79" w:rsidRPr="00B63DC7" w:rsidRDefault="00604B79" w:rsidP="006913EE">
      <w:pPr>
        <w:rPr>
          <w:rFonts w:ascii="Arial" w:hAnsi="Arial" w:cs="Arial"/>
          <w:b/>
          <w:bCs/>
          <w:sz w:val="20"/>
          <w:szCs w:val="20"/>
        </w:rPr>
      </w:pPr>
      <w:r w:rsidRPr="00B63DC7">
        <w:rPr>
          <w:rFonts w:ascii="Arial" w:hAnsi="Arial" w:cs="Arial"/>
          <w:b/>
          <w:bCs/>
          <w:sz w:val="20"/>
          <w:szCs w:val="20"/>
        </w:rPr>
        <w:drawing>
          <wp:anchor distT="0" distB="0" distL="114300" distR="114300" simplePos="0" relativeHeight="251666432" behindDoc="0" locked="0" layoutInCell="1" allowOverlap="1" wp14:anchorId="5D56B99E" wp14:editId="57A8C5D7">
            <wp:simplePos x="0" y="0"/>
            <wp:positionH relativeFrom="column">
              <wp:posOffset>3166745</wp:posOffset>
            </wp:positionH>
            <wp:positionV relativeFrom="paragraph">
              <wp:posOffset>-1509395</wp:posOffset>
            </wp:positionV>
            <wp:extent cx="2743200" cy="1704975"/>
            <wp:effectExtent l="0" t="0" r="0" b="9525"/>
            <wp:wrapTopAndBottom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704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63DC7">
        <w:rPr>
          <w:rFonts w:ascii="Arial" w:hAnsi="Arial" w:cs="Arial"/>
          <w:b/>
          <w:bCs/>
          <w:sz w:val="20"/>
          <w:szCs w:val="20"/>
        </w:rPr>
        <w:t xml:space="preserve">           </w:t>
      </w:r>
      <w:r w:rsidRPr="00B63DC7">
        <w:rPr>
          <w:rFonts w:ascii="Arial" w:hAnsi="Arial" w:cs="Arial"/>
          <w:b/>
          <w:bCs/>
          <w:sz w:val="20"/>
          <w:szCs w:val="20"/>
        </w:rPr>
        <w:tab/>
      </w:r>
      <w:r w:rsidRPr="00B63DC7">
        <w:rPr>
          <w:rFonts w:ascii="Arial" w:hAnsi="Arial" w:cs="Arial"/>
          <w:b/>
          <w:bCs/>
          <w:sz w:val="20"/>
          <w:szCs w:val="20"/>
        </w:rPr>
        <w:tab/>
      </w:r>
      <w:r w:rsidRPr="00B63DC7">
        <w:rPr>
          <w:rFonts w:ascii="Arial" w:hAnsi="Arial" w:cs="Arial"/>
          <w:b/>
          <w:bCs/>
          <w:sz w:val="20"/>
          <w:szCs w:val="20"/>
        </w:rPr>
        <w:tab/>
      </w:r>
      <w:r w:rsidRPr="00B63DC7">
        <w:rPr>
          <w:rFonts w:ascii="Arial" w:hAnsi="Arial" w:cs="Arial"/>
          <w:b/>
          <w:bCs/>
          <w:sz w:val="20"/>
          <w:szCs w:val="20"/>
        </w:rPr>
        <w:tab/>
      </w:r>
      <w:r w:rsidRPr="00B63DC7">
        <w:rPr>
          <w:rFonts w:ascii="Arial" w:hAnsi="Arial" w:cs="Arial"/>
          <w:b/>
          <w:bCs/>
          <w:sz w:val="20"/>
          <w:szCs w:val="20"/>
        </w:rPr>
        <w:tab/>
      </w:r>
      <w:r w:rsidRPr="00B63DC7">
        <w:rPr>
          <w:rFonts w:ascii="Arial" w:hAnsi="Arial" w:cs="Arial"/>
          <w:b/>
          <w:bCs/>
          <w:sz w:val="20"/>
          <w:szCs w:val="20"/>
        </w:rPr>
        <w:tab/>
      </w:r>
      <w:r w:rsidRPr="00B63DC7">
        <w:rPr>
          <w:rFonts w:ascii="Arial" w:hAnsi="Arial" w:cs="Arial"/>
          <w:b/>
          <w:bCs/>
          <w:sz w:val="20"/>
          <w:szCs w:val="20"/>
        </w:rPr>
        <w:tab/>
      </w:r>
    </w:p>
    <w:p w14:paraId="1EA6DA87" w14:textId="5A27C35E" w:rsidR="000B76B2" w:rsidRDefault="0055193A" w:rsidP="00604B79">
      <w:pPr>
        <w:ind w:left="705"/>
        <w:rPr>
          <w:rFonts w:ascii="Arial" w:hAnsi="Arial" w:cs="Arial"/>
          <w:sz w:val="20"/>
          <w:szCs w:val="20"/>
        </w:rPr>
      </w:pPr>
      <w:r w:rsidRPr="00B63DC7">
        <w:rPr>
          <w:rFonts w:ascii="Arial" w:hAnsi="Arial" w:cs="Arial"/>
          <w:sz w:val="20"/>
          <w:szCs w:val="20"/>
        </w:rPr>
        <w:t>El</w:t>
      </w:r>
      <w:r w:rsidR="00604B79" w:rsidRPr="00B63DC7">
        <w:rPr>
          <w:rFonts w:ascii="Arial" w:hAnsi="Arial" w:cs="Arial"/>
          <w:sz w:val="20"/>
          <w:szCs w:val="20"/>
        </w:rPr>
        <w:t xml:space="preserve"> cuadro</w:t>
      </w:r>
      <w:r w:rsidRPr="00B63DC7">
        <w:rPr>
          <w:rFonts w:ascii="Arial" w:hAnsi="Arial" w:cs="Arial"/>
          <w:sz w:val="20"/>
          <w:szCs w:val="20"/>
        </w:rPr>
        <w:t xml:space="preserve"> resume los hallazgos </w:t>
      </w:r>
      <w:r w:rsidR="00604B79" w:rsidRPr="00B63DC7">
        <w:rPr>
          <w:rFonts w:ascii="Arial" w:hAnsi="Arial" w:cs="Arial"/>
          <w:sz w:val="20"/>
          <w:szCs w:val="20"/>
        </w:rPr>
        <w:t>del análisis multi</w:t>
      </w:r>
      <w:r w:rsidRPr="00B63DC7">
        <w:rPr>
          <w:rFonts w:ascii="Arial" w:hAnsi="Arial" w:cs="Arial"/>
          <w:sz w:val="20"/>
          <w:szCs w:val="20"/>
        </w:rPr>
        <w:t xml:space="preserve">variado ajustado, con 35 controles y 45 controles, se </w:t>
      </w:r>
      <w:r w:rsidR="00604B79" w:rsidRPr="00B63DC7">
        <w:rPr>
          <w:rFonts w:ascii="Arial" w:hAnsi="Arial" w:cs="Arial"/>
          <w:sz w:val="20"/>
          <w:szCs w:val="20"/>
        </w:rPr>
        <w:t>encontró</w:t>
      </w:r>
      <w:r w:rsidRPr="00B63DC7">
        <w:rPr>
          <w:rFonts w:ascii="Arial" w:hAnsi="Arial" w:cs="Arial"/>
          <w:sz w:val="20"/>
          <w:szCs w:val="20"/>
        </w:rPr>
        <w:t xml:space="preserve"> que el uso de </w:t>
      </w:r>
      <w:r w:rsidR="00604B79" w:rsidRPr="00B63DC7">
        <w:rPr>
          <w:rFonts w:ascii="Arial" w:hAnsi="Arial" w:cs="Arial"/>
          <w:sz w:val="20"/>
          <w:szCs w:val="20"/>
        </w:rPr>
        <w:t>calostro terapia</w:t>
      </w:r>
      <w:r w:rsidRPr="00B63DC7">
        <w:rPr>
          <w:rFonts w:ascii="Arial" w:hAnsi="Arial" w:cs="Arial"/>
          <w:sz w:val="20"/>
          <w:szCs w:val="20"/>
        </w:rPr>
        <w:t xml:space="preserve"> </w:t>
      </w:r>
      <w:r w:rsidR="00604B79" w:rsidRPr="00B63DC7">
        <w:rPr>
          <w:rFonts w:ascii="Arial" w:hAnsi="Arial" w:cs="Arial"/>
          <w:sz w:val="20"/>
          <w:szCs w:val="20"/>
        </w:rPr>
        <w:t xml:space="preserve">se </w:t>
      </w:r>
      <w:r w:rsidR="00B63DC7" w:rsidRPr="00B63DC7">
        <w:rPr>
          <w:rFonts w:ascii="Arial" w:hAnsi="Arial" w:cs="Arial"/>
          <w:sz w:val="20"/>
          <w:szCs w:val="20"/>
        </w:rPr>
        <w:t>asocia a</w:t>
      </w:r>
      <w:r w:rsidR="00604B79" w:rsidRPr="00B63DC7">
        <w:rPr>
          <w:rFonts w:ascii="Arial" w:hAnsi="Arial" w:cs="Arial"/>
          <w:sz w:val="20"/>
          <w:szCs w:val="20"/>
        </w:rPr>
        <w:t xml:space="preserve"> la ausencia </w:t>
      </w:r>
      <w:r w:rsidR="00B63DC7" w:rsidRPr="00B63DC7">
        <w:rPr>
          <w:rFonts w:ascii="Arial" w:hAnsi="Arial" w:cs="Arial"/>
          <w:sz w:val="20"/>
          <w:szCs w:val="20"/>
        </w:rPr>
        <w:t>de NEC</w:t>
      </w:r>
      <w:r w:rsidR="00604B79" w:rsidRPr="00B63DC7">
        <w:rPr>
          <w:rFonts w:ascii="Arial" w:hAnsi="Arial" w:cs="Arial"/>
          <w:sz w:val="20"/>
          <w:szCs w:val="20"/>
        </w:rPr>
        <w:t xml:space="preserve"> y </w:t>
      </w:r>
      <w:proofErr w:type="spellStart"/>
      <w:r w:rsidR="00604B79" w:rsidRPr="00B63DC7">
        <w:rPr>
          <w:rFonts w:ascii="Arial" w:hAnsi="Arial" w:cs="Arial"/>
          <w:sz w:val="20"/>
          <w:szCs w:val="20"/>
        </w:rPr>
        <w:t>DBP.</w:t>
      </w:r>
      <w:r w:rsidRPr="00B63DC7">
        <w:rPr>
          <w:rFonts w:ascii="Arial" w:hAnsi="Arial" w:cs="Arial"/>
          <w:sz w:val="20"/>
          <w:szCs w:val="20"/>
        </w:rPr>
        <w:t>Por</w:t>
      </w:r>
      <w:proofErr w:type="spellEnd"/>
      <w:r w:rsidRPr="00B63DC7">
        <w:rPr>
          <w:rFonts w:ascii="Arial" w:hAnsi="Arial" w:cs="Arial"/>
          <w:sz w:val="20"/>
          <w:szCs w:val="20"/>
        </w:rPr>
        <w:t xml:space="preserve"> otro </w:t>
      </w:r>
      <w:r w:rsidR="00604B79" w:rsidRPr="00B63DC7">
        <w:rPr>
          <w:rFonts w:ascii="Arial" w:hAnsi="Arial" w:cs="Arial"/>
          <w:sz w:val="20"/>
          <w:szCs w:val="20"/>
        </w:rPr>
        <w:t>lado,</w:t>
      </w:r>
      <w:r w:rsidRPr="00B63DC7">
        <w:rPr>
          <w:rFonts w:ascii="Arial" w:hAnsi="Arial" w:cs="Arial"/>
          <w:sz w:val="20"/>
          <w:szCs w:val="20"/>
        </w:rPr>
        <w:t xml:space="preserve"> no se </w:t>
      </w:r>
      <w:r w:rsidR="00604B79" w:rsidRPr="00B63DC7">
        <w:rPr>
          <w:rFonts w:ascii="Arial" w:hAnsi="Arial" w:cs="Arial"/>
          <w:sz w:val="20"/>
          <w:szCs w:val="20"/>
        </w:rPr>
        <w:t>encontró</w:t>
      </w:r>
      <w:r w:rsidRPr="00B63DC7">
        <w:rPr>
          <w:rFonts w:ascii="Arial" w:hAnsi="Arial" w:cs="Arial"/>
          <w:sz w:val="20"/>
          <w:szCs w:val="20"/>
        </w:rPr>
        <w:t xml:space="preserve"> asociación </w:t>
      </w:r>
      <w:r w:rsidR="00604B79" w:rsidRPr="00B63DC7">
        <w:rPr>
          <w:rFonts w:ascii="Arial" w:hAnsi="Arial" w:cs="Arial"/>
          <w:sz w:val="20"/>
          <w:szCs w:val="20"/>
        </w:rPr>
        <w:t>con retinopatía</w:t>
      </w:r>
      <w:r w:rsidRPr="00B63DC7">
        <w:rPr>
          <w:rFonts w:ascii="Arial" w:hAnsi="Arial" w:cs="Arial"/>
          <w:sz w:val="20"/>
          <w:szCs w:val="20"/>
        </w:rPr>
        <w:t xml:space="preserve"> del prematuro y con </w:t>
      </w:r>
      <w:r w:rsidR="00604B79" w:rsidRPr="00B63DC7">
        <w:rPr>
          <w:rFonts w:ascii="Arial" w:hAnsi="Arial" w:cs="Arial"/>
          <w:sz w:val="20"/>
          <w:szCs w:val="20"/>
        </w:rPr>
        <w:t>sepsis</w:t>
      </w:r>
      <w:r w:rsidRPr="00B63DC7">
        <w:rPr>
          <w:rFonts w:ascii="Arial" w:hAnsi="Arial" w:cs="Arial"/>
          <w:sz w:val="20"/>
          <w:szCs w:val="20"/>
        </w:rPr>
        <w:t xml:space="preserve"> intrahos</w:t>
      </w:r>
      <w:r w:rsidR="00604B79" w:rsidRPr="00B63DC7">
        <w:rPr>
          <w:rFonts w:ascii="Arial" w:hAnsi="Arial" w:cs="Arial"/>
          <w:sz w:val="20"/>
          <w:szCs w:val="20"/>
        </w:rPr>
        <w:t>pitalaria</w:t>
      </w:r>
      <w:r w:rsidRPr="00B63DC7">
        <w:rPr>
          <w:rFonts w:ascii="Arial" w:hAnsi="Arial" w:cs="Arial"/>
          <w:sz w:val="20"/>
          <w:szCs w:val="20"/>
        </w:rPr>
        <w:t>.</w:t>
      </w:r>
      <w:r w:rsidR="00936783">
        <w:rPr>
          <w:rFonts w:ascii="Arial" w:hAnsi="Arial" w:cs="Arial"/>
          <w:sz w:val="20"/>
          <w:szCs w:val="20"/>
        </w:rPr>
        <w:t xml:space="preserve"> </w:t>
      </w:r>
      <w:proofErr w:type="gramStart"/>
      <w:r w:rsidR="00604B79" w:rsidRPr="00B63DC7">
        <w:rPr>
          <w:rFonts w:ascii="Arial" w:hAnsi="Arial" w:cs="Arial"/>
          <w:sz w:val="20"/>
          <w:szCs w:val="20"/>
        </w:rPr>
        <w:t>La</w:t>
      </w:r>
      <w:proofErr w:type="gramEnd"/>
      <w:r w:rsidR="00604B79" w:rsidRPr="00B63DC7">
        <w:rPr>
          <w:rFonts w:ascii="Arial" w:hAnsi="Arial" w:cs="Arial"/>
          <w:sz w:val="20"/>
          <w:szCs w:val="20"/>
        </w:rPr>
        <w:t xml:space="preserve"> calostro </w:t>
      </w:r>
      <w:r w:rsidR="00B63DC7" w:rsidRPr="00B63DC7">
        <w:rPr>
          <w:rFonts w:ascii="Arial" w:hAnsi="Arial" w:cs="Arial"/>
          <w:sz w:val="20"/>
          <w:szCs w:val="20"/>
        </w:rPr>
        <w:t>terapia es</w:t>
      </w:r>
      <w:r w:rsidR="00604B79" w:rsidRPr="00B63DC7">
        <w:rPr>
          <w:rFonts w:ascii="Arial" w:hAnsi="Arial" w:cs="Arial"/>
          <w:sz w:val="20"/>
          <w:szCs w:val="20"/>
        </w:rPr>
        <w:t xml:space="preserve"> factor </w:t>
      </w:r>
      <w:r w:rsidR="00B63DC7" w:rsidRPr="00B63DC7">
        <w:rPr>
          <w:rFonts w:ascii="Arial" w:hAnsi="Arial" w:cs="Arial"/>
          <w:sz w:val="20"/>
          <w:szCs w:val="20"/>
        </w:rPr>
        <w:t>protector en</w:t>
      </w:r>
      <w:r w:rsidR="00604B79" w:rsidRPr="00B63DC7">
        <w:rPr>
          <w:rFonts w:ascii="Arial" w:hAnsi="Arial" w:cs="Arial"/>
          <w:sz w:val="20"/>
          <w:szCs w:val="20"/>
        </w:rPr>
        <w:t xml:space="preserve"> la disminución de mortalidad </w:t>
      </w:r>
      <w:r w:rsidR="00B63DC7" w:rsidRPr="00B63DC7">
        <w:rPr>
          <w:rFonts w:ascii="Arial" w:hAnsi="Arial" w:cs="Arial"/>
          <w:sz w:val="20"/>
          <w:szCs w:val="20"/>
        </w:rPr>
        <w:t>neonatal,</w:t>
      </w:r>
      <w:r w:rsidR="00604B79" w:rsidRPr="00B63DC7">
        <w:rPr>
          <w:rFonts w:ascii="Arial" w:hAnsi="Arial" w:cs="Arial"/>
          <w:sz w:val="20"/>
          <w:szCs w:val="20"/>
        </w:rPr>
        <w:t xml:space="preserve"> siendo menos de una vez el riesgo de morir cuando se recibe calostro que cuando no se recibe. Solo el 25</w:t>
      </w:r>
      <w:r w:rsidR="00B63DC7" w:rsidRPr="00B63DC7">
        <w:rPr>
          <w:rFonts w:ascii="Arial" w:hAnsi="Arial" w:cs="Arial"/>
          <w:sz w:val="20"/>
          <w:szCs w:val="20"/>
        </w:rPr>
        <w:t>%</w:t>
      </w:r>
      <w:r w:rsidR="00604B79" w:rsidRPr="00B63DC7">
        <w:rPr>
          <w:rFonts w:ascii="Arial" w:hAnsi="Arial" w:cs="Arial"/>
          <w:sz w:val="20"/>
          <w:szCs w:val="20"/>
        </w:rPr>
        <w:t xml:space="preserve"> del total </w:t>
      </w:r>
      <w:r w:rsidR="00B63DC7" w:rsidRPr="00B63DC7">
        <w:rPr>
          <w:rFonts w:ascii="Arial" w:hAnsi="Arial" w:cs="Arial"/>
          <w:sz w:val="20"/>
          <w:szCs w:val="20"/>
        </w:rPr>
        <w:t>de prematuros</w:t>
      </w:r>
      <w:r w:rsidR="00604B79" w:rsidRPr="00B63DC7">
        <w:rPr>
          <w:rFonts w:ascii="Arial" w:hAnsi="Arial" w:cs="Arial"/>
          <w:sz w:val="20"/>
          <w:szCs w:val="20"/>
        </w:rPr>
        <w:t xml:space="preserve"> fallecidos recibieron calostro versus el 75%que no recibió</w:t>
      </w:r>
      <w:r w:rsidR="00B63DC7" w:rsidRPr="00B63DC7">
        <w:rPr>
          <w:rFonts w:ascii="Arial" w:hAnsi="Arial" w:cs="Arial"/>
          <w:sz w:val="20"/>
          <w:szCs w:val="20"/>
        </w:rPr>
        <w:t>.</w:t>
      </w:r>
    </w:p>
    <w:p w14:paraId="09424A36" w14:textId="77777777" w:rsidR="00936783" w:rsidRPr="00936783" w:rsidRDefault="00936783" w:rsidP="00604B79">
      <w:pPr>
        <w:ind w:left="705"/>
        <w:rPr>
          <w:rFonts w:ascii="Arial" w:hAnsi="Arial" w:cs="Arial"/>
          <w:b/>
          <w:bCs/>
          <w:sz w:val="20"/>
          <w:szCs w:val="20"/>
        </w:rPr>
      </w:pPr>
      <w:r w:rsidRPr="00936783">
        <w:rPr>
          <w:rFonts w:ascii="Arial" w:hAnsi="Arial" w:cs="Arial"/>
          <w:b/>
          <w:bCs/>
          <w:sz w:val="20"/>
          <w:szCs w:val="20"/>
        </w:rPr>
        <w:t>Conclusiones</w:t>
      </w:r>
    </w:p>
    <w:p w14:paraId="427EC929" w14:textId="21353AED" w:rsidR="00936783" w:rsidRPr="00B63DC7" w:rsidRDefault="00936783" w:rsidP="00936783">
      <w:pPr>
        <w:ind w:left="70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Calostro terapia disminuye el riesgo de enterocolitis necrotizante y displasia broncopulmonar en el l HNCASE, si mismo disminuye la mortalidad del prematuro de menos de 1500 gr y de menos de 32 semanas en este </w:t>
      </w:r>
      <w:r w:rsidR="009E50A3">
        <w:rPr>
          <w:rFonts w:ascii="Arial" w:hAnsi="Arial" w:cs="Arial"/>
          <w:sz w:val="20"/>
          <w:szCs w:val="20"/>
        </w:rPr>
        <w:t>servicio.</w:t>
      </w:r>
      <w:r>
        <w:rPr>
          <w:rFonts w:ascii="Arial" w:hAnsi="Arial" w:cs="Arial"/>
          <w:sz w:val="20"/>
          <w:szCs w:val="20"/>
        </w:rPr>
        <w:t xml:space="preserve">  </w:t>
      </w:r>
    </w:p>
    <w:p w14:paraId="1ABEBD99" w14:textId="4030282F" w:rsidR="00015EBB" w:rsidRPr="00B63DC7" w:rsidRDefault="00015EBB" w:rsidP="006913EE">
      <w:pPr>
        <w:rPr>
          <w:rFonts w:ascii="Arial" w:hAnsi="Arial" w:cs="Arial"/>
          <w:sz w:val="20"/>
          <w:szCs w:val="20"/>
        </w:rPr>
      </w:pPr>
    </w:p>
    <w:sectPr w:rsidR="00015EBB" w:rsidRPr="00B63D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552575"/>
    <w:multiLevelType w:val="hybridMultilevel"/>
    <w:tmpl w:val="AB7C6364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DE6857"/>
    <w:multiLevelType w:val="hybridMultilevel"/>
    <w:tmpl w:val="18D4CAD2"/>
    <w:lvl w:ilvl="0" w:tplc="5C28F61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5BEFB70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242661A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5BC7B84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C8C6750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05C9EDE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6AAB9BA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A684DA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848A3E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7C2A3B41"/>
    <w:multiLevelType w:val="hybridMultilevel"/>
    <w:tmpl w:val="D4E29006"/>
    <w:lvl w:ilvl="0" w:tplc="9CB2CCC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56CD56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2FAA93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4E434B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83A9F7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CEE0BD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E2052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56E36C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2780D9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7C70195E"/>
    <w:multiLevelType w:val="hybridMultilevel"/>
    <w:tmpl w:val="B1E8C124"/>
    <w:lvl w:ilvl="0" w:tplc="347AB354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03CDD30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E80A82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9EAC8C2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4662C7E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CC5B08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0009C9A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520A51C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9AC9184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DE6"/>
    <w:rsid w:val="00015EBB"/>
    <w:rsid w:val="00030617"/>
    <w:rsid w:val="000B76B2"/>
    <w:rsid w:val="004413E4"/>
    <w:rsid w:val="0055193A"/>
    <w:rsid w:val="005A2734"/>
    <w:rsid w:val="00604B79"/>
    <w:rsid w:val="006913EE"/>
    <w:rsid w:val="007A1659"/>
    <w:rsid w:val="008D7B03"/>
    <w:rsid w:val="00936783"/>
    <w:rsid w:val="009E50A3"/>
    <w:rsid w:val="00B63DC7"/>
    <w:rsid w:val="00B90E97"/>
    <w:rsid w:val="00D47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4151D3C"/>
  <w15:chartTrackingRefBased/>
  <w15:docId w15:val="{03D39671-4855-4C86-B37B-7012FA20F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413E4"/>
    <w:pPr>
      <w:ind w:left="720"/>
      <w:contextualSpacing/>
    </w:pPr>
  </w:style>
  <w:style w:type="table" w:styleId="Tablaconcuadrcula">
    <w:name w:val="Table Grid"/>
    <w:basedOn w:val="Tablanormal"/>
    <w:uiPriority w:val="39"/>
    <w:rsid w:val="000B76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21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936144">
          <w:marLeft w:val="634"/>
          <w:marRight w:val="14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8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871227">
          <w:marLeft w:val="734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00325">
          <w:marLeft w:val="734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7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559536">
          <w:marLeft w:val="634"/>
          <w:marRight w:val="14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61829">
          <w:marLeft w:val="634"/>
          <w:marRight w:val="0"/>
          <w:marTop w:val="8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0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491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HUAWEI</dc:creator>
  <cp:keywords/>
  <dc:description/>
  <cp:lastModifiedBy>HUAWEI</cp:lastModifiedBy>
  <cp:revision>1</cp:revision>
  <dcterms:created xsi:type="dcterms:W3CDTF">2025-08-26T03:04:00Z</dcterms:created>
  <dcterms:modified xsi:type="dcterms:W3CDTF">2025-08-26T05:18:00Z</dcterms:modified>
</cp:coreProperties>
</file>