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8EFB" w14:textId="3BF10FDE" w:rsidR="00384641" w:rsidRDefault="00384641" w:rsidP="00384641">
      <w:pPr>
        <w:rPr>
          <w:b/>
          <w:bCs/>
        </w:rPr>
      </w:pPr>
      <w:r w:rsidRPr="00384641">
        <w:rPr>
          <w:b/>
          <w:bCs/>
        </w:rPr>
        <w:t>Asociación entre la lactancia materna exclusiva, el estado nutricional y la conducta alimentaria en escolares chilenos</w:t>
      </w:r>
      <w:r>
        <w:rPr>
          <w:b/>
          <w:bCs/>
        </w:rPr>
        <w:t xml:space="preserve">, un estudio transversal </w:t>
      </w:r>
    </w:p>
    <w:p w14:paraId="1A564064" w14:textId="7E771B61" w:rsidR="00384641" w:rsidRPr="00384641" w:rsidRDefault="00384641" w:rsidP="00384641">
      <w:r w:rsidRPr="00384641">
        <w:t>Nicole Lasserre-Laso</w:t>
      </w:r>
      <w:r>
        <w:t>1*</w:t>
      </w:r>
      <w:r w:rsidRPr="00384641">
        <w:t>, Edson Bustos-Arriagada2, Karina Etchegaray-Armijo2</w:t>
      </w:r>
    </w:p>
    <w:p w14:paraId="79F0F280" w14:textId="1CAB4846" w:rsidR="00384641" w:rsidRPr="00384641" w:rsidRDefault="00384641" w:rsidP="00384641">
      <w:r>
        <w:rPr>
          <w:b/>
          <w:bCs/>
        </w:rPr>
        <w:t>*</w:t>
      </w:r>
      <w:r w:rsidRPr="00384641">
        <w:t>autor principal (quien presenta el trabajo)</w:t>
      </w:r>
    </w:p>
    <w:p w14:paraId="2B93FEDB" w14:textId="77777777" w:rsidR="00384641" w:rsidRPr="00384641" w:rsidRDefault="00384641" w:rsidP="00384641">
      <w:r w:rsidRPr="00384641">
        <w:t xml:space="preserve">1 </w:t>
      </w:r>
      <w:proofErr w:type="gramStart"/>
      <w:r w:rsidRPr="00384641">
        <w:t>Escuela</w:t>
      </w:r>
      <w:proofErr w:type="gramEnd"/>
      <w:r w:rsidRPr="00384641">
        <w:t xml:space="preserve"> Nutrición y Dietética, Facultad de Salud, Universidad Santo Tomás, Sede Los Ángeles, Chile.</w:t>
      </w:r>
    </w:p>
    <w:p w14:paraId="5F3853D0" w14:textId="67A4CFD4" w:rsidR="00384641" w:rsidRDefault="00384641" w:rsidP="00384641">
      <w:pPr>
        <w:rPr>
          <w:lang w:val="en-US"/>
        </w:rPr>
      </w:pPr>
      <w:r w:rsidRPr="00384641">
        <w:rPr>
          <w:lang w:val="en-US"/>
        </w:rPr>
        <w:t>2 Faculty of Medicine, Nutrition and Dietetics School, Universidad Finis Terrae, Pedro de Valdivia 1509, Providencia, Santiago 7501015, Chile.</w:t>
      </w:r>
    </w:p>
    <w:p w14:paraId="125F8DF5" w14:textId="629834FC" w:rsidR="00384641" w:rsidRPr="00384641" w:rsidRDefault="00384641" w:rsidP="00495002">
      <w:pPr>
        <w:jc w:val="both"/>
        <w:rPr>
          <w:b/>
          <w:bCs/>
        </w:rPr>
      </w:pPr>
      <w:r w:rsidRPr="00384641">
        <w:rPr>
          <w:b/>
          <w:bCs/>
        </w:rPr>
        <w:t xml:space="preserve">RESUMEN </w:t>
      </w:r>
    </w:p>
    <w:p w14:paraId="679D0B44" w14:textId="3C2DD668" w:rsidR="00986EFF" w:rsidRPr="00986EFF" w:rsidRDefault="00986EFF" w:rsidP="00495002">
      <w:pPr>
        <w:jc w:val="both"/>
      </w:pPr>
      <w:r>
        <w:rPr>
          <w:b/>
          <w:bCs/>
        </w:rPr>
        <w:t xml:space="preserve">Introducción: </w:t>
      </w:r>
      <w:r>
        <w:t>la lactancia materna exclusiva hasta los 6 meses de edad tiene diversos beneficios, entre ellos un menor riesgo de obesidad infantil, sin embargo</w:t>
      </w:r>
      <w:r w:rsidR="00384641">
        <w:t>,</w:t>
      </w:r>
      <w:r>
        <w:t xml:space="preserve"> su rol en el desarrollo de la conducta alimentaria sigue siendo poco </w:t>
      </w:r>
      <w:r w:rsidR="00384641">
        <w:t>claro, por ende, e</w:t>
      </w:r>
      <w:r w:rsidRPr="00986EFF">
        <w:t>l objetivo de este estudio fue analizar la asociación entre la lactancia materna exclusiva (LME) durante los primeros seis meses y la relación entre el estado nutricional y la conducta alimentaria en escolares chilenos de 5 a 8 años.</w:t>
      </w:r>
    </w:p>
    <w:p w14:paraId="0EC61BC1" w14:textId="26F84EDF" w:rsidR="00986EFF" w:rsidRPr="00986EFF" w:rsidRDefault="00986EFF" w:rsidP="00495002">
      <w:pPr>
        <w:jc w:val="both"/>
      </w:pPr>
      <w:r w:rsidRPr="00986EFF">
        <w:rPr>
          <w:b/>
          <w:bCs/>
        </w:rPr>
        <w:t>Métodos:</w:t>
      </w:r>
      <w:r w:rsidRPr="00986EFF">
        <w:t xml:space="preserve"> Se realizó un estudio transversal con 110 niños y sus cuidadores de tres ciudades de Chile. La LME se evaluó de forma retrospectiva a través de cuestionarios para los cuidadores. La conducta alimentaria se midió utilizando la versión en español del cuestionario CEBQ. Las mediciones antropométricas (peso, talla y circunferencia de la cintura) se obtuvieron siguiendo un protocolo estandarizado para determinar el estado nutricional y el índice cintura-</w:t>
      </w:r>
      <w:r>
        <w:t>altura (ICA)</w:t>
      </w:r>
      <w:r w:rsidRPr="00986EFF">
        <w:t>. Las diferencias entre los grupos con LME y sin LME se analizaron utilizando las pruebas de Wilcoxon-Mann-Whitney y Kruskal-Wallis.</w:t>
      </w:r>
    </w:p>
    <w:p w14:paraId="61236BBD" w14:textId="563A0923" w:rsidR="00986EFF" w:rsidRPr="00986EFF" w:rsidRDefault="00986EFF" w:rsidP="00495002">
      <w:pPr>
        <w:jc w:val="both"/>
      </w:pPr>
      <w:r w:rsidRPr="00986EFF">
        <w:rPr>
          <w:b/>
          <w:bCs/>
        </w:rPr>
        <w:t>Resultados:</w:t>
      </w:r>
      <w:r w:rsidRPr="00986EFF">
        <w:t xml:space="preserve"> Las puntuaciones de las conductas alimentarias "</w:t>
      </w:r>
      <w:proofErr w:type="spellStart"/>
      <w:r w:rsidRPr="00986EFF">
        <w:t>pro-ingesta</w:t>
      </w:r>
      <w:proofErr w:type="spellEnd"/>
      <w:r w:rsidRPr="00986EFF">
        <w:t>" (tendencia a comer) mostraron una fuerte asociación con la obesidad en los niños que no recibieron LME (r</w:t>
      </w:r>
      <w:r>
        <w:t>atio</w:t>
      </w:r>
      <w:r w:rsidRPr="00986EFF">
        <w:t xml:space="preserve"> = 1.24, p = 0.001). Los niños con obesidad abdominal que no recibieron LME mostraron puntuaciones más altas en las conductas de tendencia a comer (ra</w:t>
      </w:r>
      <w:r>
        <w:t>tio</w:t>
      </w:r>
      <w:r w:rsidRPr="00986EFF">
        <w:t xml:space="preserve"> = 1.22, p = 0.011). Se observó una tendencia significativa en las subescalas Disfrute de la Comida y Sobrealimentación Emocional en el grupo sin LME con obesidad (p = 0.011 y p = 0.008), obesidad abdominal (p = 0.031 y p = 0.017) y riesgo </w:t>
      </w:r>
      <w:proofErr w:type="spellStart"/>
      <w:r w:rsidRPr="00986EFF">
        <w:t>cardiometabólico</w:t>
      </w:r>
      <w:proofErr w:type="spellEnd"/>
      <w:r w:rsidRPr="00986EFF">
        <w:t xml:space="preserve"> (p = 0.036 y p = 0.049), en comparación con aquellos que sí recibieron LME durante los primeros 6 meses de vida.</w:t>
      </w:r>
    </w:p>
    <w:p w14:paraId="26E92D72" w14:textId="77777777" w:rsidR="00986EFF" w:rsidRPr="00986EFF" w:rsidRDefault="00986EFF" w:rsidP="00495002">
      <w:pPr>
        <w:jc w:val="both"/>
      </w:pPr>
      <w:r w:rsidRPr="00986EFF">
        <w:rPr>
          <w:b/>
          <w:bCs/>
        </w:rPr>
        <w:t>Conclusión:</w:t>
      </w:r>
      <w:r w:rsidRPr="00986EFF">
        <w:t xml:space="preserve"> Las puntuaciones que reflejan una tendencia a una mayor ingesta de alimentos se asociaron fuertemente con la obesidad y otros parámetros relacionados con esta condición en los niños que no experimentaron LME durante la primera infancia. Haber recibido lactancia materna exclusiva, independientemente del estado nutricional actual, se asoció con puntuaciones más bajas en las conductas "</w:t>
      </w:r>
      <w:proofErr w:type="spellStart"/>
      <w:r w:rsidRPr="00986EFF">
        <w:t>pro-obesidad</w:t>
      </w:r>
      <w:proofErr w:type="spellEnd"/>
      <w:r w:rsidRPr="00986EFF">
        <w:t>".</w:t>
      </w:r>
    </w:p>
    <w:p w14:paraId="3ED3E3B4" w14:textId="77777777" w:rsidR="00340A98" w:rsidRDefault="00340A98" w:rsidP="00495002">
      <w:pPr>
        <w:jc w:val="both"/>
      </w:pPr>
    </w:p>
    <w:p w14:paraId="6B02A00E" w14:textId="5D281A86" w:rsidR="00384641" w:rsidRDefault="00384641">
      <w:pPr>
        <w:rPr>
          <w:b/>
          <w:bCs/>
        </w:rPr>
      </w:pPr>
      <w:r w:rsidRPr="00384641">
        <w:rPr>
          <w:b/>
          <w:bCs/>
        </w:rPr>
        <w:t>FIGURAS</w:t>
      </w:r>
      <w:r>
        <w:rPr>
          <w:b/>
          <w:bCs/>
        </w:rPr>
        <w:t xml:space="preserve"> y TABLAS</w:t>
      </w:r>
      <w:r w:rsidRPr="00384641">
        <w:rPr>
          <w:b/>
          <w:bCs/>
        </w:rPr>
        <w:t>:</w:t>
      </w:r>
    </w:p>
    <w:p w14:paraId="6B9A48BA" w14:textId="77777777" w:rsidR="00384641" w:rsidRDefault="00384641">
      <w:pPr>
        <w:rPr>
          <w:b/>
          <w:bCs/>
        </w:rPr>
      </w:pPr>
    </w:p>
    <w:p w14:paraId="59353585" w14:textId="0AF4BF5E" w:rsidR="00384641" w:rsidRDefault="00384641" w:rsidP="00384641">
      <w:pPr>
        <w:rPr>
          <w:b/>
          <w:bCs/>
        </w:rPr>
      </w:pPr>
      <w:r>
        <w:rPr>
          <w:b/>
          <w:bCs/>
        </w:rPr>
        <w:lastRenderedPageBreak/>
        <w:t xml:space="preserve">Figura 1: </w:t>
      </w:r>
      <w:r w:rsidRPr="00384641">
        <w:rPr>
          <w:b/>
          <w:bCs/>
        </w:rPr>
        <w:t xml:space="preserve">Puntuaciones </w:t>
      </w:r>
      <w:r>
        <w:rPr>
          <w:b/>
          <w:bCs/>
        </w:rPr>
        <w:t>medias</w:t>
      </w:r>
      <w:r w:rsidRPr="00384641">
        <w:rPr>
          <w:b/>
          <w:bCs/>
        </w:rPr>
        <w:t xml:space="preserve"> de la conducta alimentaria entre </w:t>
      </w:r>
      <w:r>
        <w:rPr>
          <w:b/>
          <w:bCs/>
        </w:rPr>
        <w:t>niños y niñas</w:t>
      </w:r>
      <w:r w:rsidRPr="00384641">
        <w:rPr>
          <w:b/>
          <w:bCs/>
        </w:rPr>
        <w:t xml:space="preserve"> en edad escolar según Lactancia Materna Exclusiva</w:t>
      </w:r>
      <w:r w:rsidRPr="00384641">
        <w:rPr>
          <w:b/>
          <w:bCs/>
        </w:rPr>
        <w:t xml:space="preserve"> </w:t>
      </w:r>
      <w:r>
        <w:rPr>
          <w:b/>
          <w:bCs/>
        </w:rPr>
        <w:t xml:space="preserve">o no. </w:t>
      </w:r>
      <w:r w:rsidRPr="00384641">
        <w:rPr>
          <w:b/>
          <w:bCs/>
        </w:rPr>
        <w:drawing>
          <wp:inline distT="0" distB="0" distL="0" distR="0" wp14:anchorId="4ECE3E34" wp14:editId="6EFFE384">
            <wp:extent cx="5612130" cy="4177030"/>
            <wp:effectExtent l="0" t="0" r="7620" b="0"/>
            <wp:docPr id="7061156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2130" cy="4177030"/>
                    </a:xfrm>
                    <a:prstGeom prst="rect">
                      <a:avLst/>
                    </a:prstGeom>
                    <a:noFill/>
                    <a:ln>
                      <a:noFill/>
                    </a:ln>
                  </pic:spPr>
                </pic:pic>
              </a:graphicData>
            </a:graphic>
          </wp:inline>
        </w:drawing>
      </w:r>
    </w:p>
    <w:p w14:paraId="036E3827" w14:textId="451A5E4A" w:rsidR="00384641" w:rsidRPr="00384641" w:rsidRDefault="001370BD" w:rsidP="001370BD">
      <w:pPr>
        <w:jc w:val="both"/>
        <w:rPr>
          <w:b/>
          <w:bCs/>
          <w:sz w:val="20"/>
          <w:szCs w:val="20"/>
        </w:rPr>
      </w:pPr>
      <w:r w:rsidRPr="001370BD">
        <w:rPr>
          <w:b/>
          <w:bCs/>
          <w:sz w:val="20"/>
          <w:szCs w:val="20"/>
        </w:rPr>
        <w:t xml:space="preserve">Figura 1: </w:t>
      </w:r>
      <w:r w:rsidRPr="001370BD">
        <w:rPr>
          <w:sz w:val="20"/>
          <w:szCs w:val="20"/>
        </w:rPr>
        <w:t>Niños alimentados exclusivamente con leche materna (</w:t>
      </w:r>
      <w:r>
        <w:rPr>
          <w:sz w:val="20"/>
          <w:szCs w:val="20"/>
        </w:rPr>
        <w:t>EBF</w:t>
      </w:r>
      <w:r w:rsidRPr="001370BD">
        <w:rPr>
          <w:sz w:val="20"/>
          <w:szCs w:val="20"/>
        </w:rPr>
        <w:t>, verde) frente a los que no la recibieron (</w:t>
      </w:r>
      <w:r>
        <w:rPr>
          <w:sz w:val="20"/>
          <w:szCs w:val="20"/>
        </w:rPr>
        <w:t>no-EBF</w:t>
      </w:r>
      <w:r w:rsidRPr="001370BD">
        <w:rPr>
          <w:sz w:val="20"/>
          <w:szCs w:val="20"/>
        </w:rPr>
        <w:t xml:space="preserve">, rojo). A la derecha, las subescalas que reflejan una tendencia al aumento de la ingesta de alimentos (“Aproximación a la comida”: Disfrute de la comida [CE], Respuesta a la comida [FR], Ingesta excesiva emocional [EOE] y Deseo de beber [DD]). A la izquierda, las subescalas que reflejan la conducta de evitación de alimentos (“Evitación de alimentos”: Respuesta a la saciedad [SR], Lentitud al comer [SE], </w:t>
      </w:r>
      <w:proofErr w:type="spellStart"/>
      <w:r>
        <w:rPr>
          <w:sz w:val="20"/>
          <w:szCs w:val="20"/>
        </w:rPr>
        <w:t>Sub-i</w:t>
      </w:r>
      <w:r w:rsidRPr="001370BD">
        <w:rPr>
          <w:sz w:val="20"/>
          <w:szCs w:val="20"/>
        </w:rPr>
        <w:t>ngesta</w:t>
      </w:r>
      <w:proofErr w:type="spellEnd"/>
      <w:r w:rsidRPr="001370BD">
        <w:rPr>
          <w:sz w:val="20"/>
          <w:szCs w:val="20"/>
        </w:rPr>
        <w:t xml:space="preserve"> emocional [EUE] y </w:t>
      </w:r>
      <w:r>
        <w:rPr>
          <w:sz w:val="20"/>
          <w:szCs w:val="20"/>
        </w:rPr>
        <w:t xml:space="preserve">Selectividad </w:t>
      </w:r>
      <w:r w:rsidRPr="001370BD">
        <w:rPr>
          <w:sz w:val="20"/>
          <w:szCs w:val="20"/>
        </w:rPr>
        <w:t>al comer [FF]). Se observaron diferencias significativas en la lentitud al comer (p = 0,04*), así como una mayor tendencia al aumento de la ingesta entre los niños que no recibieron LME en comparación con los que sí la recibieron (ratio = 1,01, p = 0,03).</w:t>
      </w:r>
    </w:p>
    <w:p w14:paraId="0164059C" w14:textId="77777777" w:rsidR="00384641" w:rsidRDefault="00384641">
      <w:pPr>
        <w:rPr>
          <w:b/>
          <w:bCs/>
        </w:rPr>
      </w:pPr>
    </w:p>
    <w:p w14:paraId="62B542C6" w14:textId="77777777" w:rsidR="001370BD" w:rsidRDefault="001370BD">
      <w:pPr>
        <w:rPr>
          <w:b/>
          <w:bCs/>
        </w:rPr>
      </w:pPr>
    </w:p>
    <w:p w14:paraId="5A3A30AB" w14:textId="77777777" w:rsidR="001370BD" w:rsidRDefault="001370BD">
      <w:pPr>
        <w:rPr>
          <w:b/>
          <w:bCs/>
        </w:rPr>
      </w:pPr>
    </w:p>
    <w:p w14:paraId="4B7AD174" w14:textId="77777777" w:rsidR="001370BD" w:rsidRDefault="001370BD">
      <w:pPr>
        <w:rPr>
          <w:b/>
          <w:bCs/>
        </w:rPr>
      </w:pPr>
    </w:p>
    <w:p w14:paraId="4FBF4176" w14:textId="77777777" w:rsidR="001370BD" w:rsidRDefault="001370BD">
      <w:pPr>
        <w:rPr>
          <w:b/>
          <w:bCs/>
        </w:rPr>
      </w:pPr>
    </w:p>
    <w:p w14:paraId="4B6B6FE0" w14:textId="77777777" w:rsidR="001370BD" w:rsidRDefault="001370BD">
      <w:pPr>
        <w:rPr>
          <w:b/>
          <w:bCs/>
        </w:rPr>
      </w:pPr>
    </w:p>
    <w:p w14:paraId="39128ACA" w14:textId="77777777" w:rsidR="001370BD" w:rsidRDefault="001370BD">
      <w:pPr>
        <w:rPr>
          <w:b/>
          <w:bCs/>
        </w:rPr>
      </w:pPr>
    </w:p>
    <w:p w14:paraId="58149B16" w14:textId="592D0754" w:rsidR="001370BD" w:rsidRPr="001370BD" w:rsidRDefault="001370BD" w:rsidP="001370BD">
      <w:pPr>
        <w:rPr>
          <w:rFonts w:cstheme="minorHAnsi"/>
        </w:rPr>
      </w:pPr>
      <w:r w:rsidRPr="001370BD">
        <w:rPr>
          <w:rFonts w:cstheme="minorHAnsi"/>
          <w:b/>
          <w:bCs/>
        </w:rPr>
        <w:lastRenderedPageBreak/>
        <w:t xml:space="preserve">Tabla </w:t>
      </w:r>
      <w:r>
        <w:rPr>
          <w:rFonts w:cstheme="minorHAnsi"/>
          <w:b/>
          <w:bCs/>
        </w:rPr>
        <w:t>1:</w:t>
      </w:r>
      <w:r w:rsidRPr="001370BD">
        <w:rPr>
          <w:rFonts w:cstheme="minorHAnsi"/>
          <w:b/>
          <w:bCs/>
        </w:rPr>
        <w:t xml:space="preserve"> Asociación de las dimensiones de la conducta alimentaria con el estado</w:t>
      </w:r>
      <w:r>
        <w:rPr>
          <w:rFonts w:cstheme="minorHAnsi"/>
          <w:b/>
          <w:bCs/>
        </w:rPr>
        <w:t xml:space="preserve"> nutricional según perímetro de </w:t>
      </w:r>
      <w:r w:rsidRPr="001370BD">
        <w:rPr>
          <w:rFonts w:cstheme="minorHAnsi"/>
          <w:b/>
          <w:bCs/>
        </w:rPr>
        <w:t>cintura según lactancia materna exclusiva.</w:t>
      </w:r>
    </w:p>
    <w:p w14:paraId="298E7AFA" w14:textId="77777777" w:rsidR="001370BD" w:rsidRPr="001370BD" w:rsidRDefault="001370BD" w:rsidP="001370BD">
      <w:pPr>
        <w:rPr>
          <w:rFonts w:cstheme="minorHAnsi"/>
        </w:rPr>
      </w:pPr>
    </w:p>
    <w:tbl>
      <w:tblPr>
        <w:tblStyle w:val="Tablanormal2"/>
        <w:tblW w:w="0" w:type="auto"/>
        <w:tblLook w:val="04A0" w:firstRow="1" w:lastRow="0" w:firstColumn="1" w:lastColumn="0" w:noHBand="0" w:noVBand="1"/>
      </w:tblPr>
      <w:tblGrid>
        <w:gridCol w:w="1985"/>
        <w:gridCol w:w="837"/>
        <w:gridCol w:w="988"/>
        <w:gridCol w:w="915"/>
        <w:gridCol w:w="671"/>
        <w:gridCol w:w="1028"/>
        <w:gridCol w:w="886"/>
        <w:gridCol w:w="733"/>
        <w:gridCol w:w="795"/>
      </w:tblGrid>
      <w:tr w:rsidR="001370BD" w:rsidRPr="001370BD" w14:paraId="7A0491CD" w14:textId="77777777" w:rsidTr="00137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A109672" w14:textId="77777777" w:rsidR="001370BD" w:rsidRPr="001370BD" w:rsidRDefault="001370BD" w:rsidP="00C024C8">
            <w:pPr>
              <w:rPr>
                <w:rFonts w:cstheme="minorHAnsi"/>
                <w:sz w:val="18"/>
                <w:szCs w:val="18"/>
              </w:rPr>
            </w:pPr>
          </w:p>
        </w:tc>
        <w:tc>
          <w:tcPr>
            <w:tcW w:w="1825" w:type="dxa"/>
            <w:gridSpan w:val="2"/>
            <w:vAlign w:val="center"/>
          </w:tcPr>
          <w:p w14:paraId="49687425" w14:textId="4644EC6F" w:rsidR="001370BD" w:rsidRPr="001370BD" w:rsidRDefault="001B5B0C"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LME</w:t>
            </w:r>
          </w:p>
        </w:tc>
        <w:tc>
          <w:tcPr>
            <w:tcW w:w="915" w:type="dxa"/>
            <w:vAlign w:val="center"/>
          </w:tcPr>
          <w:p w14:paraId="473C9C63" w14:textId="77777777" w:rsidR="001370BD" w:rsidRPr="001370BD" w:rsidRDefault="001370BD"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671" w:type="dxa"/>
            <w:vAlign w:val="center"/>
          </w:tcPr>
          <w:p w14:paraId="7B485FD9" w14:textId="77777777" w:rsidR="001370BD" w:rsidRPr="001370BD" w:rsidRDefault="001370BD"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914" w:type="dxa"/>
            <w:gridSpan w:val="2"/>
            <w:vAlign w:val="center"/>
          </w:tcPr>
          <w:p w14:paraId="2291F887" w14:textId="78071821" w:rsidR="001370BD" w:rsidRPr="001370BD" w:rsidRDefault="001370BD"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No-</w:t>
            </w:r>
            <w:r w:rsidR="001B5B0C">
              <w:rPr>
                <w:rFonts w:cstheme="minorHAnsi"/>
                <w:sz w:val="18"/>
                <w:szCs w:val="18"/>
              </w:rPr>
              <w:t>LME</w:t>
            </w:r>
          </w:p>
        </w:tc>
        <w:tc>
          <w:tcPr>
            <w:tcW w:w="733" w:type="dxa"/>
            <w:vAlign w:val="center"/>
          </w:tcPr>
          <w:p w14:paraId="54F80DB6" w14:textId="77777777" w:rsidR="001370BD" w:rsidRPr="001370BD" w:rsidRDefault="001370BD"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795" w:type="dxa"/>
            <w:vAlign w:val="center"/>
          </w:tcPr>
          <w:p w14:paraId="4B32E193" w14:textId="77777777" w:rsidR="001370BD" w:rsidRPr="001370BD" w:rsidRDefault="001370BD"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r>
      <w:tr w:rsidR="001370BD" w:rsidRPr="001370BD" w14:paraId="7CBF6B5C"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C4F343D" w14:textId="61F036B5" w:rsidR="001370BD" w:rsidRPr="001370BD" w:rsidRDefault="001370BD" w:rsidP="00C024C8">
            <w:pPr>
              <w:rPr>
                <w:rFonts w:cstheme="minorHAnsi"/>
                <w:sz w:val="18"/>
                <w:szCs w:val="18"/>
              </w:rPr>
            </w:pPr>
            <w:r>
              <w:rPr>
                <w:rFonts w:cstheme="minorHAnsi"/>
                <w:sz w:val="18"/>
                <w:szCs w:val="18"/>
              </w:rPr>
              <w:t xml:space="preserve">Conductas </w:t>
            </w:r>
            <w:proofErr w:type="spellStart"/>
            <w:r>
              <w:rPr>
                <w:rFonts w:cstheme="minorHAnsi"/>
                <w:sz w:val="18"/>
                <w:szCs w:val="18"/>
              </w:rPr>
              <w:t>pro-ingesta</w:t>
            </w:r>
            <w:proofErr w:type="spellEnd"/>
            <w:r>
              <w:rPr>
                <w:rFonts w:cstheme="minorHAnsi"/>
                <w:sz w:val="18"/>
                <w:szCs w:val="18"/>
              </w:rPr>
              <w:t xml:space="preserve"> </w:t>
            </w:r>
          </w:p>
        </w:tc>
        <w:tc>
          <w:tcPr>
            <w:tcW w:w="1825" w:type="dxa"/>
            <w:gridSpan w:val="2"/>
            <w:vAlign w:val="center"/>
          </w:tcPr>
          <w:p w14:paraId="3593E8E5"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915" w:type="dxa"/>
            <w:vAlign w:val="center"/>
          </w:tcPr>
          <w:p w14:paraId="065A5FD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71" w:type="dxa"/>
            <w:vAlign w:val="center"/>
          </w:tcPr>
          <w:p w14:paraId="541BECAF"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914" w:type="dxa"/>
            <w:gridSpan w:val="2"/>
            <w:vAlign w:val="center"/>
          </w:tcPr>
          <w:p w14:paraId="4E53E225"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33" w:type="dxa"/>
            <w:vAlign w:val="center"/>
          </w:tcPr>
          <w:p w14:paraId="031786D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95" w:type="dxa"/>
            <w:vAlign w:val="center"/>
          </w:tcPr>
          <w:p w14:paraId="389D11C4"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370BD" w:rsidRPr="001370BD" w14:paraId="264BADD0" w14:textId="77777777" w:rsidTr="001370BD">
        <w:tc>
          <w:tcPr>
            <w:cnfStyle w:val="001000000000" w:firstRow="0" w:lastRow="0" w:firstColumn="1" w:lastColumn="0" w:oddVBand="0" w:evenVBand="0" w:oddHBand="0" w:evenHBand="0" w:firstRowFirstColumn="0" w:firstRowLastColumn="0" w:lastRowFirstColumn="0" w:lastRowLastColumn="0"/>
            <w:tcW w:w="1985" w:type="dxa"/>
          </w:tcPr>
          <w:p w14:paraId="1C5A57AA" w14:textId="77777777" w:rsidR="001370BD" w:rsidRPr="001370BD" w:rsidRDefault="001370BD" w:rsidP="00C024C8">
            <w:pPr>
              <w:rPr>
                <w:rFonts w:cstheme="minorHAnsi"/>
                <w:sz w:val="18"/>
                <w:szCs w:val="18"/>
              </w:rPr>
            </w:pPr>
          </w:p>
        </w:tc>
        <w:tc>
          <w:tcPr>
            <w:tcW w:w="837" w:type="dxa"/>
            <w:vAlign w:val="center"/>
          </w:tcPr>
          <w:p w14:paraId="50E1E7B4"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w:t>
            </w:r>
          </w:p>
          <w:p w14:paraId="0582C128"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n=29</w:t>
            </w:r>
          </w:p>
        </w:tc>
        <w:tc>
          <w:tcPr>
            <w:tcW w:w="988" w:type="dxa"/>
            <w:vAlign w:val="center"/>
          </w:tcPr>
          <w:p w14:paraId="0438CA11" w14:textId="47C6828A"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RO</w:t>
            </w:r>
            <w:r w:rsidR="001B5B0C">
              <w:rPr>
                <w:rFonts w:cstheme="minorHAnsi"/>
                <w:sz w:val="18"/>
                <w:szCs w:val="18"/>
              </w:rPr>
              <w:t>A</w:t>
            </w:r>
          </w:p>
          <w:p w14:paraId="11AC99F0"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n=18</w:t>
            </w:r>
          </w:p>
        </w:tc>
        <w:tc>
          <w:tcPr>
            <w:tcW w:w="915" w:type="dxa"/>
            <w:vAlign w:val="center"/>
          </w:tcPr>
          <w:p w14:paraId="259A42AA" w14:textId="56C7848F"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O</w:t>
            </w:r>
            <w:r w:rsidR="001B5B0C">
              <w:rPr>
                <w:rFonts w:cstheme="minorHAnsi"/>
                <w:sz w:val="18"/>
                <w:szCs w:val="18"/>
              </w:rPr>
              <w:t>A</w:t>
            </w:r>
          </w:p>
          <w:p w14:paraId="29FC2942"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n=8</w:t>
            </w:r>
          </w:p>
        </w:tc>
        <w:tc>
          <w:tcPr>
            <w:tcW w:w="671" w:type="dxa"/>
            <w:vAlign w:val="center"/>
          </w:tcPr>
          <w:p w14:paraId="49C796FA"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p-</w:t>
            </w:r>
            <w:proofErr w:type="spellStart"/>
            <w:r w:rsidRPr="001370BD">
              <w:rPr>
                <w:rFonts w:cstheme="minorHAnsi"/>
                <w:sz w:val="18"/>
                <w:szCs w:val="18"/>
              </w:rPr>
              <w:t>value</w:t>
            </w:r>
            <w:proofErr w:type="spellEnd"/>
          </w:p>
        </w:tc>
        <w:tc>
          <w:tcPr>
            <w:tcW w:w="1028" w:type="dxa"/>
            <w:vAlign w:val="center"/>
          </w:tcPr>
          <w:p w14:paraId="08F7D209"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w:t>
            </w:r>
          </w:p>
          <w:p w14:paraId="26415540"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n=26</w:t>
            </w:r>
          </w:p>
        </w:tc>
        <w:tc>
          <w:tcPr>
            <w:tcW w:w="886" w:type="dxa"/>
            <w:vAlign w:val="center"/>
          </w:tcPr>
          <w:p w14:paraId="337031A5" w14:textId="7B2364F2"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RO</w:t>
            </w:r>
            <w:r w:rsidR="001B5B0C">
              <w:rPr>
                <w:rFonts w:cstheme="minorHAnsi"/>
                <w:sz w:val="18"/>
                <w:szCs w:val="18"/>
              </w:rPr>
              <w:t>A</w:t>
            </w:r>
          </w:p>
          <w:p w14:paraId="722D6606"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n=16</w:t>
            </w:r>
          </w:p>
        </w:tc>
        <w:tc>
          <w:tcPr>
            <w:tcW w:w="733" w:type="dxa"/>
            <w:vAlign w:val="center"/>
          </w:tcPr>
          <w:p w14:paraId="52AFE146" w14:textId="3B61F8F4" w:rsidR="001370BD" w:rsidRPr="001370BD" w:rsidRDefault="001B5B0C"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OA</w:t>
            </w:r>
          </w:p>
          <w:p w14:paraId="40622640"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n=12</w:t>
            </w:r>
          </w:p>
        </w:tc>
        <w:tc>
          <w:tcPr>
            <w:tcW w:w="795" w:type="dxa"/>
            <w:vAlign w:val="center"/>
          </w:tcPr>
          <w:p w14:paraId="10624DB4" w14:textId="6FC5914D" w:rsidR="001370BD" w:rsidRPr="001370BD"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Valor p</w:t>
            </w:r>
          </w:p>
        </w:tc>
      </w:tr>
      <w:tr w:rsidR="001370BD" w:rsidRPr="001370BD" w14:paraId="65B8E7E0"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057B99D" w14:textId="70EA6DB0" w:rsidR="001370BD" w:rsidRPr="001370BD" w:rsidRDefault="001370BD" w:rsidP="00C024C8">
            <w:pPr>
              <w:rPr>
                <w:rFonts w:cstheme="minorHAnsi"/>
                <w:sz w:val="18"/>
                <w:szCs w:val="18"/>
              </w:rPr>
            </w:pPr>
            <w:r>
              <w:rPr>
                <w:rFonts w:cstheme="minorHAnsi"/>
                <w:sz w:val="18"/>
                <w:szCs w:val="18"/>
              </w:rPr>
              <w:t>Disfrute de los Alimentos (EF)</w:t>
            </w:r>
          </w:p>
        </w:tc>
        <w:tc>
          <w:tcPr>
            <w:tcW w:w="837" w:type="dxa"/>
            <w:vAlign w:val="center"/>
          </w:tcPr>
          <w:p w14:paraId="00788698"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3.25 [3.0-3.5]</w:t>
            </w:r>
          </w:p>
        </w:tc>
        <w:tc>
          <w:tcPr>
            <w:tcW w:w="988" w:type="dxa"/>
            <w:vAlign w:val="center"/>
          </w:tcPr>
          <w:p w14:paraId="2AD01E6E"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3.75 [3.0-4.0]</w:t>
            </w:r>
          </w:p>
        </w:tc>
        <w:tc>
          <w:tcPr>
            <w:tcW w:w="915" w:type="dxa"/>
            <w:vAlign w:val="center"/>
          </w:tcPr>
          <w:p w14:paraId="0D2C380F"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3.25 [2.62-4.25]</w:t>
            </w:r>
          </w:p>
        </w:tc>
        <w:tc>
          <w:tcPr>
            <w:tcW w:w="671" w:type="dxa"/>
            <w:vAlign w:val="center"/>
          </w:tcPr>
          <w:p w14:paraId="746F4B1C"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0.526</w:t>
            </w:r>
          </w:p>
        </w:tc>
        <w:tc>
          <w:tcPr>
            <w:tcW w:w="1028" w:type="dxa"/>
            <w:vAlign w:val="center"/>
          </w:tcPr>
          <w:p w14:paraId="6CA16772"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3.37 [2.75-4.0]a</w:t>
            </w:r>
          </w:p>
        </w:tc>
        <w:tc>
          <w:tcPr>
            <w:tcW w:w="886" w:type="dxa"/>
            <w:vAlign w:val="center"/>
          </w:tcPr>
          <w:p w14:paraId="070A62CC"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3.87 [3.37-4.37]</w:t>
            </w:r>
            <w:proofErr w:type="spellStart"/>
            <w:proofErr w:type="gramStart"/>
            <w:r w:rsidRPr="001370BD">
              <w:rPr>
                <w:rFonts w:cstheme="minorHAnsi"/>
                <w:sz w:val="18"/>
                <w:szCs w:val="18"/>
              </w:rPr>
              <w:t>a,b</w:t>
            </w:r>
            <w:proofErr w:type="spellEnd"/>
            <w:proofErr w:type="gramEnd"/>
          </w:p>
        </w:tc>
        <w:tc>
          <w:tcPr>
            <w:tcW w:w="733" w:type="dxa"/>
            <w:vAlign w:val="center"/>
          </w:tcPr>
          <w:p w14:paraId="347CF29E"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4.25 [4.0-4.62]b</w:t>
            </w:r>
          </w:p>
        </w:tc>
        <w:tc>
          <w:tcPr>
            <w:tcW w:w="795" w:type="dxa"/>
            <w:vAlign w:val="center"/>
          </w:tcPr>
          <w:p w14:paraId="38746E5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370BD">
              <w:rPr>
                <w:rFonts w:cstheme="minorHAnsi"/>
                <w:b/>
                <w:bCs/>
                <w:sz w:val="18"/>
                <w:szCs w:val="18"/>
              </w:rPr>
              <w:t>0.001</w:t>
            </w:r>
          </w:p>
        </w:tc>
      </w:tr>
      <w:tr w:rsidR="001370BD" w:rsidRPr="001370BD" w14:paraId="6A78BE91" w14:textId="77777777" w:rsidTr="001370BD">
        <w:tc>
          <w:tcPr>
            <w:cnfStyle w:val="001000000000" w:firstRow="0" w:lastRow="0" w:firstColumn="1" w:lastColumn="0" w:oddVBand="0" w:evenVBand="0" w:oddHBand="0" w:evenHBand="0" w:firstRowFirstColumn="0" w:firstRowLastColumn="0" w:lastRowFirstColumn="0" w:lastRowLastColumn="0"/>
            <w:tcW w:w="1985" w:type="dxa"/>
            <w:vAlign w:val="center"/>
          </w:tcPr>
          <w:p w14:paraId="01A45D09" w14:textId="24C98152" w:rsidR="001370BD" w:rsidRPr="001370BD" w:rsidRDefault="001370BD" w:rsidP="00C024C8">
            <w:pPr>
              <w:rPr>
                <w:rFonts w:cstheme="minorHAnsi"/>
                <w:sz w:val="18"/>
                <w:szCs w:val="18"/>
              </w:rPr>
            </w:pPr>
            <w:r>
              <w:rPr>
                <w:rFonts w:cstheme="minorHAnsi"/>
                <w:sz w:val="18"/>
                <w:szCs w:val="18"/>
              </w:rPr>
              <w:t>Respuesta a los alimentos (FR)</w:t>
            </w:r>
          </w:p>
        </w:tc>
        <w:tc>
          <w:tcPr>
            <w:tcW w:w="837" w:type="dxa"/>
            <w:vAlign w:val="center"/>
          </w:tcPr>
          <w:p w14:paraId="1991E1E3"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1.6 [1.4-2.0]</w:t>
            </w:r>
          </w:p>
        </w:tc>
        <w:tc>
          <w:tcPr>
            <w:tcW w:w="988" w:type="dxa"/>
            <w:vAlign w:val="center"/>
          </w:tcPr>
          <w:p w14:paraId="0C937D1D"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2.5 [1.2-3.0]</w:t>
            </w:r>
          </w:p>
        </w:tc>
        <w:tc>
          <w:tcPr>
            <w:tcW w:w="915" w:type="dxa"/>
            <w:vAlign w:val="center"/>
          </w:tcPr>
          <w:p w14:paraId="113370A1"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2.0 [1.4-3.0]</w:t>
            </w:r>
          </w:p>
        </w:tc>
        <w:tc>
          <w:tcPr>
            <w:tcW w:w="671" w:type="dxa"/>
            <w:vAlign w:val="center"/>
          </w:tcPr>
          <w:p w14:paraId="7D749D53"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0.410</w:t>
            </w:r>
          </w:p>
        </w:tc>
        <w:tc>
          <w:tcPr>
            <w:tcW w:w="1028" w:type="dxa"/>
            <w:vAlign w:val="center"/>
          </w:tcPr>
          <w:p w14:paraId="7DC4709F"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vertAlign w:val="superscript"/>
              </w:rPr>
            </w:pPr>
            <w:r w:rsidRPr="001370BD">
              <w:rPr>
                <w:rFonts w:cstheme="minorHAnsi"/>
                <w:sz w:val="18"/>
                <w:szCs w:val="18"/>
              </w:rPr>
              <w:t>1.5 [1.0-2.6]a</w:t>
            </w:r>
          </w:p>
        </w:tc>
        <w:tc>
          <w:tcPr>
            <w:tcW w:w="886" w:type="dxa"/>
            <w:vAlign w:val="center"/>
          </w:tcPr>
          <w:p w14:paraId="742188E8"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vertAlign w:val="superscript"/>
              </w:rPr>
            </w:pPr>
            <w:r w:rsidRPr="001370BD">
              <w:rPr>
                <w:rFonts w:cstheme="minorHAnsi"/>
                <w:sz w:val="18"/>
                <w:szCs w:val="18"/>
              </w:rPr>
              <w:t>2.2 [1.2-3.2]</w:t>
            </w:r>
            <w:proofErr w:type="spellStart"/>
            <w:proofErr w:type="gramStart"/>
            <w:r w:rsidRPr="001370BD">
              <w:rPr>
                <w:rFonts w:cstheme="minorHAnsi"/>
                <w:sz w:val="18"/>
                <w:szCs w:val="18"/>
              </w:rPr>
              <w:t>a,b</w:t>
            </w:r>
            <w:proofErr w:type="spellEnd"/>
            <w:proofErr w:type="gramEnd"/>
          </w:p>
        </w:tc>
        <w:tc>
          <w:tcPr>
            <w:tcW w:w="733" w:type="dxa"/>
            <w:vAlign w:val="center"/>
          </w:tcPr>
          <w:p w14:paraId="458E23F1"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3.2 [2.4-3.4]b</w:t>
            </w:r>
          </w:p>
        </w:tc>
        <w:tc>
          <w:tcPr>
            <w:tcW w:w="795" w:type="dxa"/>
            <w:vAlign w:val="center"/>
          </w:tcPr>
          <w:p w14:paraId="7905B189"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370BD">
              <w:rPr>
                <w:rFonts w:cstheme="minorHAnsi"/>
                <w:b/>
                <w:bCs/>
                <w:sz w:val="18"/>
                <w:szCs w:val="18"/>
              </w:rPr>
              <w:t>0.008</w:t>
            </w:r>
          </w:p>
        </w:tc>
      </w:tr>
      <w:tr w:rsidR="001370BD" w:rsidRPr="001370BD" w14:paraId="643A0B21"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3533ACCC" w14:textId="6FE92101" w:rsidR="001370BD" w:rsidRPr="001370BD" w:rsidRDefault="001370BD" w:rsidP="00C024C8">
            <w:pPr>
              <w:rPr>
                <w:rFonts w:cstheme="minorHAnsi"/>
                <w:sz w:val="18"/>
                <w:szCs w:val="18"/>
              </w:rPr>
            </w:pPr>
            <w:r>
              <w:rPr>
                <w:rFonts w:cstheme="minorHAnsi"/>
                <w:sz w:val="18"/>
                <w:szCs w:val="18"/>
              </w:rPr>
              <w:t>Sobre ingesta emocional (EOE)</w:t>
            </w:r>
          </w:p>
        </w:tc>
        <w:tc>
          <w:tcPr>
            <w:tcW w:w="837" w:type="dxa"/>
            <w:vAlign w:val="center"/>
          </w:tcPr>
          <w:p w14:paraId="1A78EC12"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2.0 [1.25-2.25]</w:t>
            </w:r>
          </w:p>
        </w:tc>
        <w:tc>
          <w:tcPr>
            <w:tcW w:w="988" w:type="dxa"/>
            <w:vAlign w:val="center"/>
          </w:tcPr>
          <w:p w14:paraId="2C053FD6"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2.75 [1.25-3.25]</w:t>
            </w:r>
          </w:p>
        </w:tc>
        <w:tc>
          <w:tcPr>
            <w:tcW w:w="915" w:type="dxa"/>
            <w:vAlign w:val="center"/>
          </w:tcPr>
          <w:p w14:paraId="606ED1A7"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2.12 [1.5-2.75]</w:t>
            </w:r>
          </w:p>
        </w:tc>
        <w:tc>
          <w:tcPr>
            <w:tcW w:w="671" w:type="dxa"/>
            <w:vAlign w:val="center"/>
          </w:tcPr>
          <w:p w14:paraId="166DD680"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0.174</w:t>
            </w:r>
          </w:p>
        </w:tc>
        <w:tc>
          <w:tcPr>
            <w:tcW w:w="1028" w:type="dxa"/>
            <w:vAlign w:val="center"/>
          </w:tcPr>
          <w:p w14:paraId="0ECAB662"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1.62 [1.25-2.5]a</w:t>
            </w:r>
          </w:p>
        </w:tc>
        <w:tc>
          <w:tcPr>
            <w:tcW w:w="886" w:type="dxa"/>
            <w:vAlign w:val="center"/>
          </w:tcPr>
          <w:p w14:paraId="11C384D4"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vertAlign w:val="superscript"/>
              </w:rPr>
            </w:pPr>
            <w:r w:rsidRPr="001370BD">
              <w:rPr>
                <w:rFonts w:cstheme="minorHAnsi"/>
                <w:sz w:val="18"/>
                <w:szCs w:val="18"/>
              </w:rPr>
              <w:t>3.0 [1.25-3.25]</w:t>
            </w:r>
            <w:proofErr w:type="spellStart"/>
            <w:proofErr w:type="gramStart"/>
            <w:r w:rsidRPr="001370BD">
              <w:rPr>
                <w:rFonts w:cstheme="minorHAnsi"/>
                <w:sz w:val="18"/>
                <w:szCs w:val="18"/>
              </w:rPr>
              <w:t>a,b</w:t>
            </w:r>
            <w:proofErr w:type="spellEnd"/>
            <w:proofErr w:type="gramEnd"/>
          </w:p>
        </w:tc>
        <w:tc>
          <w:tcPr>
            <w:tcW w:w="733" w:type="dxa"/>
            <w:vAlign w:val="center"/>
          </w:tcPr>
          <w:p w14:paraId="14CB677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3.12 [2.5-3.37]b</w:t>
            </w:r>
          </w:p>
        </w:tc>
        <w:tc>
          <w:tcPr>
            <w:tcW w:w="795" w:type="dxa"/>
            <w:vAlign w:val="center"/>
          </w:tcPr>
          <w:p w14:paraId="5A4D581C"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370BD">
              <w:rPr>
                <w:rFonts w:cstheme="minorHAnsi"/>
                <w:b/>
                <w:bCs/>
                <w:sz w:val="18"/>
                <w:szCs w:val="18"/>
              </w:rPr>
              <w:t>0.005</w:t>
            </w:r>
          </w:p>
        </w:tc>
      </w:tr>
      <w:tr w:rsidR="001370BD" w:rsidRPr="001370BD" w14:paraId="1D13D0A7" w14:textId="77777777" w:rsidTr="001370BD">
        <w:tc>
          <w:tcPr>
            <w:cnfStyle w:val="001000000000" w:firstRow="0" w:lastRow="0" w:firstColumn="1" w:lastColumn="0" w:oddVBand="0" w:evenVBand="0" w:oddHBand="0" w:evenHBand="0" w:firstRowFirstColumn="0" w:firstRowLastColumn="0" w:lastRowFirstColumn="0" w:lastRowLastColumn="0"/>
            <w:tcW w:w="1985" w:type="dxa"/>
            <w:vAlign w:val="center"/>
          </w:tcPr>
          <w:p w14:paraId="21C9CC7A" w14:textId="132F1FCF" w:rsidR="001370BD" w:rsidRPr="001370BD" w:rsidRDefault="001370BD" w:rsidP="00C024C8">
            <w:pPr>
              <w:rPr>
                <w:rFonts w:cstheme="minorHAnsi"/>
                <w:sz w:val="18"/>
                <w:szCs w:val="18"/>
              </w:rPr>
            </w:pPr>
            <w:r>
              <w:rPr>
                <w:rFonts w:cstheme="minorHAnsi"/>
                <w:sz w:val="18"/>
                <w:szCs w:val="18"/>
              </w:rPr>
              <w:t>Deseo de beber (DD)</w:t>
            </w:r>
          </w:p>
        </w:tc>
        <w:tc>
          <w:tcPr>
            <w:tcW w:w="837" w:type="dxa"/>
            <w:vAlign w:val="center"/>
          </w:tcPr>
          <w:p w14:paraId="55B635D7"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3.0 [2.0-4.0]</w:t>
            </w:r>
          </w:p>
        </w:tc>
        <w:tc>
          <w:tcPr>
            <w:tcW w:w="988" w:type="dxa"/>
            <w:vAlign w:val="center"/>
          </w:tcPr>
          <w:p w14:paraId="4A3C6AEC"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3.3 [2.0-4.6]</w:t>
            </w:r>
          </w:p>
        </w:tc>
        <w:tc>
          <w:tcPr>
            <w:tcW w:w="915" w:type="dxa"/>
            <w:vAlign w:val="center"/>
          </w:tcPr>
          <w:p w14:paraId="0ADEB635"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2.0 [1.5-4.16]</w:t>
            </w:r>
          </w:p>
        </w:tc>
        <w:tc>
          <w:tcPr>
            <w:tcW w:w="671" w:type="dxa"/>
            <w:vAlign w:val="center"/>
          </w:tcPr>
          <w:p w14:paraId="1D00B3E5"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0.507</w:t>
            </w:r>
          </w:p>
        </w:tc>
        <w:tc>
          <w:tcPr>
            <w:tcW w:w="1028" w:type="dxa"/>
            <w:vAlign w:val="center"/>
          </w:tcPr>
          <w:p w14:paraId="3F022B36"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3.5 [2.0-4.66]</w:t>
            </w:r>
          </w:p>
        </w:tc>
        <w:tc>
          <w:tcPr>
            <w:tcW w:w="886" w:type="dxa"/>
            <w:vAlign w:val="center"/>
          </w:tcPr>
          <w:p w14:paraId="51409A59"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3.83 [3.0-4.33]</w:t>
            </w:r>
          </w:p>
        </w:tc>
        <w:tc>
          <w:tcPr>
            <w:tcW w:w="733" w:type="dxa"/>
            <w:vAlign w:val="center"/>
          </w:tcPr>
          <w:p w14:paraId="366E191B"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3.0 [2.0-3.3]</w:t>
            </w:r>
          </w:p>
        </w:tc>
        <w:tc>
          <w:tcPr>
            <w:tcW w:w="795" w:type="dxa"/>
            <w:vAlign w:val="center"/>
          </w:tcPr>
          <w:p w14:paraId="38C5F34E"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0.387</w:t>
            </w:r>
          </w:p>
        </w:tc>
      </w:tr>
      <w:tr w:rsidR="001370BD" w:rsidRPr="001370BD" w14:paraId="6B3AFEBB"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C385DED" w14:textId="6DB6C139" w:rsidR="001370BD" w:rsidRPr="001370BD" w:rsidRDefault="001370BD" w:rsidP="00C024C8">
            <w:pPr>
              <w:rPr>
                <w:rFonts w:cstheme="minorHAnsi"/>
                <w:sz w:val="18"/>
                <w:szCs w:val="18"/>
              </w:rPr>
            </w:pPr>
            <w:r>
              <w:rPr>
                <w:rFonts w:cstheme="minorHAnsi"/>
                <w:sz w:val="18"/>
                <w:szCs w:val="18"/>
              </w:rPr>
              <w:t xml:space="preserve">Conductas evitativas alimentación </w:t>
            </w:r>
          </w:p>
        </w:tc>
        <w:tc>
          <w:tcPr>
            <w:tcW w:w="837" w:type="dxa"/>
            <w:vAlign w:val="center"/>
          </w:tcPr>
          <w:p w14:paraId="39781CF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988" w:type="dxa"/>
            <w:vAlign w:val="center"/>
          </w:tcPr>
          <w:p w14:paraId="4FFC480F"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915" w:type="dxa"/>
            <w:vAlign w:val="center"/>
          </w:tcPr>
          <w:p w14:paraId="1C654BDB"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671" w:type="dxa"/>
            <w:vAlign w:val="center"/>
          </w:tcPr>
          <w:p w14:paraId="751BD35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1028" w:type="dxa"/>
            <w:vAlign w:val="center"/>
          </w:tcPr>
          <w:p w14:paraId="4786C48F"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886" w:type="dxa"/>
            <w:vAlign w:val="center"/>
          </w:tcPr>
          <w:p w14:paraId="182F7EC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33" w:type="dxa"/>
            <w:vAlign w:val="center"/>
          </w:tcPr>
          <w:p w14:paraId="711FC0E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795" w:type="dxa"/>
            <w:vAlign w:val="center"/>
          </w:tcPr>
          <w:p w14:paraId="6A376C1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1370BD" w:rsidRPr="001370BD" w14:paraId="41ECA510" w14:textId="77777777" w:rsidTr="001370BD">
        <w:tc>
          <w:tcPr>
            <w:cnfStyle w:val="001000000000" w:firstRow="0" w:lastRow="0" w:firstColumn="1" w:lastColumn="0" w:oddVBand="0" w:evenVBand="0" w:oddHBand="0" w:evenHBand="0" w:firstRowFirstColumn="0" w:firstRowLastColumn="0" w:lastRowFirstColumn="0" w:lastRowLastColumn="0"/>
            <w:tcW w:w="1985" w:type="dxa"/>
            <w:vAlign w:val="center"/>
          </w:tcPr>
          <w:p w14:paraId="514B2B3E" w14:textId="18C8A63F" w:rsidR="001370BD" w:rsidRPr="001370BD" w:rsidRDefault="001370BD" w:rsidP="00C024C8">
            <w:pPr>
              <w:rPr>
                <w:rFonts w:cstheme="minorHAnsi"/>
                <w:sz w:val="18"/>
                <w:szCs w:val="18"/>
              </w:rPr>
            </w:pPr>
            <w:r>
              <w:rPr>
                <w:rFonts w:cstheme="minorHAnsi"/>
                <w:sz w:val="18"/>
                <w:szCs w:val="18"/>
              </w:rPr>
              <w:t>Respuesta a la saciedad (SR)</w:t>
            </w:r>
          </w:p>
        </w:tc>
        <w:tc>
          <w:tcPr>
            <w:tcW w:w="837" w:type="dxa"/>
            <w:vAlign w:val="center"/>
          </w:tcPr>
          <w:p w14:paraId="4BC6C529" w14:textId="77777777" w:rsidR="001370BD" w:rsidRPr="001370BD" w:rsidRDefault="001370BD" w:rsidP="00C024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 xml:space="preserve"> 3.0 [2.8-3.6]a</w:t>
            </w:r>
          </w:p>
        </w:tc>
        <w:tc>
          <w:tcPr>
            <w:tcW w:w="988" w:type="dxa"/>
            <w:vAlign w:val="center"/>
          </w:tcPr>
          <w:p w14:paraId="2386955B"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2.9 [2.6-3.4]</w:t>
            </w:r>
            <w:proofErr w:type="spellStart"/>
            <w:proofErr w:type="gramStart"/>
            <w:r w:rsidRPr="001370BD">
              <w:rPr>
                <w:rFonts w:cstheme="minorHAnsi"/>
                <w:sz w:val="18"/>
                <w:szCs w:val="18"/>
              </w:rPr>
              <w:t>a,b</w:t>
            </w:r>
            <w:proofErr w:type="spellEnd"/>
            <w:proofErr w:type="gramEnd"/>
          </w:p>
        </w:tc>
        <w:tc>
          <w:tcPr>
            <w:tcW w:w="915" w:type="dxa"/>
            <w:vAlign w:val="center"/>
          </w:tcPr>
          <w:p w14:paraId="7D1C8744"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2.4 [2.2-2.7]b</w:t>
            </w:r>
          </w:p>
        </w:tc>
        <w:tc>
          <w:tcPr>
            <w:tcW w:w="671" w:type="dxa"/>
            <w:vAlign w:val="center"/>
          </w:tcPr>
          <w:p w14:paraId="4A7E3948"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1370BD">
              <w:rPr>
                <w:rFonts w:cstheme="minorHAnsi"/>
                <w:b/>
                <w:bCs/>
                <w:sz w:val="18"/>
                <w:szCs w:val="18"/>
              </w:rPr>
              <w:t>0.014</w:t>
            </w:r>
          </w:p>
        </w:tc>
        <w:tc>
          <w:tcPr>
            <w:tcW w:w="1028" w:type="dxa"/>
            <w:vAlign w:val="center"/>
          </w:tcPr>
          <w:p w14:paraId="6768697A"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3.0 [2.6-3.4]a</w:t>
            </w:r>
          </w:p>
        </w:tc>
        <w:tc>
          <w:tcPr>
            <w:tcW w:w="886" w:type="dxa"/>
            <w:vAlign w:val="center"/>
          </w:tcPr>
          <w:p w14:paraId="2BA363DC"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2.8 [2.4-3.2]</w:t>
            </w:r>
            <w:proofErr w:type="spellStart"/>
            <w:proofErr w:type="gramStart"/>
            <w:r w:rsidRPr="001370BD">
              <w:rPr>
                <w:rFonts w:cstheme="minorHAnsi"/>
                <w:sz w:val="18"/>
                <w:szCs w:val="18"/>
              </w:rPr>
              <w:t>a,b</w:t>
            </w:r>
            <w:proofErr w:type="spellEnd"/>
            <w:proofErr w:type="gramEnd"/>
          </w:p>
        </w:tc>
        <w:tc>
          <w:tcPr>
            <w:tcW w:w="733" w:type="dxa"/>
            <w:vAlign w:val="center"/>
          </w:tcPr>
          <w:p w14:paraId="363AB009"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2.9 [2.3-3.2]b</w:t>
            </w:r>
          </w:p>
        </w:tc>
        <w:tc>
          <w:tcPr>
            <w:tcW w:w="795" w:type="dxa"/>
            <w:vAlign w:val="center"/>
          </w:tcPr>
          <w:p w14:paraId="04801D31"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0.577</w:t>
            </w:r>
          </w:p>
        </w:tc>
      </w:tr>
      <w:tr w:rsidR="001370BD" w:rsidRPr="001370BD" w14:paraId="0F844248"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E851C7F" w14:textId="2F1949C5" w:rsidR="001370BD" w:rsidRPr="001370BD" w:rsidRDefault="001370BD" w:rsidP="00C024C8">
            <w:pPr>
              <w:rPr>
                <w:rFonts w:cstheme="minorHAnsi"/>
                <w:sz w:val="18"/>
                <w:szCs w:val="18"/>
              </w:rPr>
            </w:pPr>
            <w:r>
              <w:rPr>
                <w:rFonts w:cstheme="minorHAnsi"/>
                <w:sz w:val="18"/>
                <w:szCs w:val="18"/>
              </w:rPr>
              <w:t>Lentitud al comer (SE)</w:t>
            </w:r>
          </w:p>
        </w:tc>
        <w:tc>
          <w:tcPr>
            <w:tcW w:w="837" w:type="dxa"/>
            <w:vAlign w:val="center"/>
          </w:tcPr>
          <w:p w14:paraId="43A30B2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3.0 [2.75-4.25]</w:t>
            </w:r>
          </w:p>
        </w:tc>
        <w:tc>
          <w:tcPr>
            <w:tcW w:w="988" w:type="dxa"/>
            <w:vAlign w:val="center"/>
          </w:tcPr>
          <w:p w14:paraId="60EEC668"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2.5 [2.0-4.0]</w:t>
            </w:r>
          </w:p>
        </w:tc>
        <w:tc>
          <w:tcPr>
            <w:tcW w:w="915" w:type="dxa"/>
            <w:vAlign w:val="center"/>
          </w:tcPr>
          <w:p w14:paraId="433E605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2.62 [2.25-3.12]</w:t>
            </w:r>
          </w:p>
        </w:tc>
        <w:tc>
          <w:tcPr>
            <w:tcW w:w="671" w:type="dxa"/>
            <w:vAlign w:val="center"/>
          </w:tcPr>
          <w:p w14:paraId="4B01E9C7"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0.127</w:t>
            </w:r>
          </w:p>
        </w:tc>
        <w:tc>
          <w:tcPr>
            <w:tcW w:w="1028" w:type="dxa"/>
            <w:vAlign w:val="center"/>
          </w:tcPr>
          <w:p w14:paraId="237255C8"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2.87 [2.25-4.0]</w:t>
            </w:r>
          </w:p>
        </w:tc>
        <w:tc>
          <w:tcPr>
            <w:tcW w:w="886" w:type="dxa"/>
            <w:vAlign w:val="center"/>
          </w:tcPr>
          <w:p w14:paraId="74518F01"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2.5 [2.0-3.0]</w:t>
            </w:r>
          </w:p>
        </w:tc>
        <w:tc>
          <w:tcPr>
            <w:tcW w:w="733" w:type="dxa"/>
            <w:vAlign w:val="center"/>
          </w:tcPr>
          <w:p w14:paraId="77E7FFC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2.25 [1.75-2.5]</w:t>
            </w:r>
          </w:p>
        </w:tc>
        <w:tc>
          <w:tcPr>
            <w:tcW w:w="795" w:type="dxa"/>
            <w:vAlign w:val="center"/>
          </w:tcPr>
          <w:p w14:paraId="1A4CCDEA"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370BD">
              <w:rPr>
                <w:rFonts w:cstheme="minorHAnsi"/>
                <w:b/>
                <w:bCs/>
                <w:sz w:val="18"/>
                <w:szCs w:val="18"/>
              </w:rPr>
              <w:t>0.020</w:t>
            </w:r>
          </w:p>
        </w:tc>
      </w:tr>
      <w:tr w:rsidR="001370BD" w:rsidRPr="001370BD" w14:paraId="0555B35F" w14:textId="77777777" w:rsidTr="001370BD">
        <w:tc>
          <w:tcPr>
            <w:cnfStyle w:val="001000000000" w:firstRow="0" w:lastRow="0" w:firstColumn="1" w:lastColumn="0" w:oddVBand="0" w:evenVBand="0" w:oddHBand="0" w:evenHBand="0" w:firstRowFirstColumn="0" w:firstRowLastColumn="0" w:lastRowFirstColumn="0" w:lastRowLastColumn="0"/>
            <w:tcW w:w="1985" w:type="dxa"/>
            <w:vAlign w:val="center"/>
          </w:tcPr>
          <w:p w14:paraId="5FEF8771" w14:textId="3E8F6CF0" w:rsidR="001370BD" w:rsidRPr="001370BD" w:rsidRDefault="001370BD" w:rsidP="00C024C8">
            <w:pPr>
              <w:rPr>
                <w:rFonts w:cstheme="minorHAnsi"/>
                <w:sz w:val="18"/>
                <w:szCs w:val="18"/>
              </w:rPr>
            </w:pPr>
            <w:r>
              <w:rPr>
                <w:rFonts w:cstheme="minorHAnsi"/>
                <w:sz w:val="18"/>
                <w:szCs w:val="18"/>
              </w:rPr>
              <w:t>Sub ingesta emocional (EUE)</w:t>
            </w:r>
          </w:p>
        </w:tc>
        <w:tc>
          <w:tcPr>
            <w:tcW w:w="837" w:type="dxa"/>
            <w:vAlign w:val="center"/>
          </w:tcPr>
          <w:p w14:paraId="032BD83D"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2.75 [2.0-3.0]</w:t>
            </w:r>
          </w:p>
        </w:tc>
        <w:tc>
          <w:tcPr>
            <w:tcW w:w="988" w:type="dxa"/>
            <w:vAlign w:val="center"/>
          </w:tcPr>
          <w:p w14:paraId="44135C00"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2.6 [2.0-3.2]</w:t>
            </w:r>
          </w:p>
        </w:tc>
        <w:tc>
          <w:tcPr>
            <w:tcW w:w="915" w:type="dxa"/>
            <w:vAlign w:val="center"/>
          </w:tcPr>
          <w:p w14:paraId="35BD3C8D"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2.25 [2.12-2.62]</w:t>
            </w:r>
          </w:p>
        </w:tc>
        <w:tc>
          <w:tcPr>
            <w:tcW w:w="671" w:type="dxa"/>
            <w:vAlign w:val="center"/>
          </w:tcPr>
          <w:p w14:paraId="37C8C1D1"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0.487</w:t>
            </w:r>
          </w:p>
        </w:tc>
        <w:tc>
          <w:tcPr>
            <w:tcW w:w="1028" w:type="dxa"/>
            <w:vAlign w:val="center"/>
          </w:tcPr>
          <w:p w14:paraId="2BC04B8A"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2.75 [2.0-3.0]</w:t>
            </w:r>
          </w:p>
        </w:tc>
        <w:tc>
          <w:tcPr>
            <w:tcW w:w="886" w:type="dxa"/>
            <w:vAlign w:val="center"/>
          </w:tcPr>
          <w:p w14:paraId="0B1EB418"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2.62 [2.0-3.12]</w:t>
            </w:r>
          </w:p>
        </w:tc>
        <w:tc>
          <w:tcPr>
            <w:tcW w:w="733" w:type="dxa"/>
            <w:vAlign w:val="center"/>
          </w:tcPr>
          <w:p w14:paraId="33EFB0B8"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2.75 [2.12-3.25]</w:t>
            </w:r>
          </w:p>
        </w:tc>
        <w:tc>
          <w:tcPr>
            <w:tcW w:w="795" w:type="dxa"/>
            <w:vAlign w:val="center"/>
          </w:tcPr>
          <w:p w14:paraId="0D5B5EEF"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370BD">
              <w:rPr>
                <w:rFonts w:cstheme="minorHAnsi"/>
                <w:sz w:val="18"/>
                <w:szCs w:val="18"/>
              </w:rPr>
              <w:t>0.891</w:t>
            </w:r>
          </w:p>
        </w:tc>
      </w:tr>
      <w:tr w:rsidR="001370BD" w:rsidRPr="001370BD" w14:paraId="087F0D52"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43CEEDFF" w14:textId="38FA88D9" w:rsidR="001370BD" w:rsidRPr="001370BD" w:rsidRDefault="001370BD" w:rsidP="00C024C8">
            <w:pPr>
              <w:rPr>
                <w:rFonts w:cstheme="minorHAnsi"/>
                <w:sz w:val="18"/>
                <w:szCs w:val="18"/>
              </w:rPr>
            </w:pPr>
            <w:r>
              <w:rPr>
                <w:rFonts w:cstheme="minorHAnsi"/>
                <w:sz w:val="18"/>
                <w:szCs w:val="18"/>
              </w:rPr>
              <w:t>Selectividad al comer (FF)</w:t>
            </w:r>
          </w:p>
        </w:tc>
        <w:tc>
          <w:tcPr>
            <w:tcW w:w="837" w:type="dxa"/>
            <w:vAlign w:val="center"/>
          </w:tcPr>
          <w:p w14:paraId="748D291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3.0 [2.6-3.6]</w:t>
            </w:r>
          </w:p>
        </w:tc>
        <w:tc>
          <w:tcPr>
            <w:tcW w:w="988" w:type="dxa"/>
            <w:vAlign w:val="center"/>
          </w:tcPr>
          <w:p w14:paraId="666E9FA3"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2.9 [2.5-4.1</w:t>
            </w:r>
          </w:p>
        </w:tc>
        <w:tc>
          <w:tcPr>
            <w:tcW w:w="915" w:type="dxa"/>
            <w:vAlign w:val="center"/>
          </w:tcPr>
          <w:p w14:paraId="3CEF1E4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2.75 [2.25-3.25]</w:t>
            </w:r>
          </w:p>
        </w:tc>
        <w:tc>
          <w:tcPr>
            <w:tcW w:w="671" w:type="dxa"/>
            <w:vAlign w:val="center"/>
          </w:tcPr>
          <w:p w14:paraId="3C69A9D7"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0.435</w:t>
            </w:r>
          </w:p>
        </w:tc>
        <w:tc>
          <w:tcPr>
            <w:tcW w:w="1028" w:type="dxa"/>
            <w:vAlign w:val="center"/>
          </w:tcPr>
          <w:p w14:paraId="3CA57658"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3.08 [2.66-3.66]</w:t>
            </w:r>
          </w:p>
        </w:tc>
        <w:tc>
          <w:tcPr>
            <w:tcW w:w="886" w:type="dxa"/>
            <w:vAlign w:val="center"/>
          </w:tcPr>
          <w:p w14:paraId="32B9F49F"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3.33 [3.08-3.66]</w:t>
            </w:r>
          </w:p>
        </w:tc>
        <w:tc>
          <w:tcPr>
            <w:tcW w:w="733" w:type="dxa"/>
            <w:vAlign w:val="center"/>
          </w:tcPr>
          <w:p w14:paraId="22EA4BC2"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3.41 [3.16-4.0]</w:t>
            </w:r>
          </w:p>
        </w:tc>
        <w:tc>
          <w:tcPr>
            <w:tcW w:w="795" w:type="dxa"/>
            <w:vAlign w:val="center"/>
          </w:tcPr>
          <w:p w14:paraId="11691CB5"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0.373</w:t>
            </w:r>
          </w:p>
        </w:tc>
      </w:tr>
      <w:tr w:rsidR="001370BD" w:rsidRPr="001370BD" w14:paraId="66BF380F" w14:textId="77777777" w:rsidTr="001370BD">
        <w:tc>
          <w:tcPr>
            <w:cnfStyle w:val="001000000000" w:firstRow="0" w:lastRow="0" w:firstColumn="1" w:lastColumn="0" w:oddVBand="0" w:evenVBand="0" w:oddHBand="0" w:evenHBand="0" w:firstRowFirstColumn="0" w:firstRowLastColumn="0" w:lastRowFirstColumn="0" w:lastRowLastColumn="0"/>
            <w:tcW w:w="1985" w:type="dxa"/>
            <w:vAlign w:val="center"/>
          </w:tcPr>
          <w:p w14:paraId="0D2EB3CC" w14:textId="77777777" w:rsidR="001370BD" w:rsidRPr="001370BD" w:rsidRDefault="001370BD" w:rsidP="00C024C8">
            <w:pPr>
              <w:rPr>
                <w:rFonts w:cstheme="minorHAnsi"/>
                <w:sz w:val="18"/>
                <w:szCs w:val="18"/>
              </w:rPr>
            </w:pPr>
          </w:p>
        </w:tc>
        <w:tc>
          <w:tcPr>
            <w:tcW w:w="837" w:type="dxa"/>
            <w:vAlign w:val="center"/>
          </w:tcPr>
          <w:p w14:paraId="53B444A4"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988" w:type="dxa"/>
            <w:vAlign w:val="center"/>
          </w:tcPr>
          <w:p w14:paraId="45BA35DF"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915" w:type="dxa"/>
            <w:vAlign w:val="center"/>
          </w:tcPr>
          <w:p w14:paraId="13B1943D"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671" w:type="dxa"/>
            <w:vAlign w:val="center"/>
          </w:tcPr>
          <w:p w14:paraId="1E90B50A"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1028" w:type="dxa"/>
            <w:vAlign w:val="center"/>
          </w:tcPr>
          <w:p w14:paraId="307E020C"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886" w:type="dxa"/>
            <w:vAlign w:val="center"/>
          </w:tcPr>
          <w:p w14:paraId="6D214FC9"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733" w:type="dxa"/>
            <w:vAlign w:val="center"/>
          </w:tcPr>
          <w:p w14:paraId="31FED286"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795" w:type="dxa"/>
            <w:vAlign w:val="center"/>
          </w:tcPr>
          <w:p w14:paraId="17DF25F0" w14:textId="77777777" w:rsidR="001370BD" w:rsidRPr="001370BD" w:rsidRDefault="001370BD"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1370BD" w:rsidRPr="001370BD" w14:paraId="6E29EE89" w14:textId="77777777" w:rsidTr="0013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0D6896A" w14:textId="77777777" w:rsidR="001370BD" w:rsidRPr="001370BD" w:rsidRDefault="001370BD" w:rsidP="00C024C8">
            <w:pPr>
              <w:rPr>
                <w:rFonts w:cstheme="minorHAnsi"/>
                <w:sz w:val="18"/>
                <w:szCs w:val="18"/>
              </w:rPr>
            </w:pPr>
            <w:r w:rsidRPr="001370BD">
              <w:rPr>
                <w:rFonts w:cstheme="minorHAnsi"/>
                <w:sz w:val="18"/>
                <w:szCs w:val="18"/>
              </w:rPr>
              <w:t xml:space="preserve">Ratio </w:t>
            </w:r>
          </w:p>
        </w:tc>
        <w:tc>
          <w:tcPr>
            <w:tcW w:w="837" w:type="dxa"/>
            <w:vAlign w:val="center"/>
          </w:tcPr>
          <w:p w14:paraId="51628BE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0.80 [0.70-0.95]</w:t>
            </w:r>
          </w:p>
        </w:tc>
        <w:tc>
          <w:tcPr>
            <w:tcW w:w="988" w:type="dxa"/>
            <w:vAlign w:val="center"/>
          </w:tcPr>
          <w:p w14:paraId="4C9E52C5"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0.95 [0.84-0.95]</w:t>
            </w:r>
          </w:p>
        </w:tc>
        <w:tc>
          <w:tcPr>
            <w:tcW w:w="915" w:type="dxa"/>
            <w:vAlign w:val="center"/>
          </w:tcPr>
          <w:p w14:paraId="70DA2355"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0.96 [0.78-1.15]</w:t>
            </w:r>
          </w:p>
        </w:tc>
        <w:tc>
          <w:tcPr>
            <w:tcW w:w="671" w:type="dxa"/>
            <w:vAlign w:val="center"/>
          </w:tcPr>
          <w:p w14:paraId="7B8A76ED"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0.059</w:t>
            </w:r>
          </w:p>
        </w:tc>
        <w:tc>
          <w:tcPr>
            <w:tcW w:w="1028" w:type="dxa"/>
            <w:vAlign w:val="center"/>
          </w:tcPr>
          <w:p w14:paraId="0A015677"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0.91 [0.74-1.02]a</w:t>
            </w:r>
          </w:p>
        </w:tc>
        <w:tc>
          <w:tcPr>
            <w:tcW w:w="886" w:type="dxa"/>
            <w:vAlign w:val="center"/>
          </w:tcPr>
          <w:p w14:paraId="705ECA26"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1.12 [0.83-1.33]</w:t>
            </w:r>
            <w:proofErr w:type="spellStart"/>
            <w:proofErr w:type="gramStart"/>
            <w:r w:rsidRPr="001370BD">
              <w:rPr>
                <w:rFonts w:cstheme="minorHAnsi"/>
                <w:sz w:val="18"/>
                <w:szCs w:val="18"/>
              </w:rPr>
              <w:t>a,b</w:t>
            </w:r>
            <w:proofErr w:type="spellEnd"/>
            <w:proofErr w:type="gramEnd"/>
          </w:p>
        </w:tc>
        <w:tc>
          <w:tcPr>
            <w:tcW w:w="733" w:type="dxa"/>
            <w:vAlign w:val="center"/>
          </w:tcPr>
          <w:p w14:paraId="7F7E1979"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1370BD">
              <w:rPr>
                <w:rFonts w:cstheme="minorHAnsi"/>
                <w:sz w:val="18"/>
                <w:szCs w:val="18"/>
              </w:rPr>
              <w:t>1.22 [1.00-1.29]b</w:t>
            </w:r>
          </w:p>
        </w:tc>
        <w:tc>
          <w:tcPr>
            <w:tcW w:w="795" w:type="dxa"/>
            <w:vAlign w:val="center"/>
          </w:tcPr>
          <w:p w14:paraId="23A438F6" w14:textId="77777777" w:rsidR="001370BD" w:rsidRPr="001370BD" w:rsidRDefault="001370BD" w:rsidP="00C024C8">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1370BD">
              <w:rPr>
                <w:rFonts w:cstheme="minorHAnsi"/>
                <w:b/>
                <w:bCs/>
                <w:sz w:val="18"/>
                <w:szCs w:val="18"/>
              </w:rPr>
              <w:t>0.011</w:t>
            </w:r>
          </w:p>
        </w:tc>
      </w:tr>
    </w:tbl>
    <w:p w14:paraId="3D91C2C0" w14:textId="25D5AAC6" w:rsidR="001370BD" w:rsidRDefault="001B5B0C">
      <w:pPr>
        <w:rPr>
          <w:rFonts w:cstheme="minorHAnsi"/>
          <w:lang w:val="en-US"/>
        </w:rPr>
      </w:pPr>
      <w:r>
        <w:rPr>
          <w:rFonts w:cstheme="minorHAnsi"/>
          <w:sz w:val="20"/>
          <w:szCs w:val="20"/>
        </w:rPr>
        <w:t xml:space="preserve">Tabla 2: </w:t>
      </w:r>
      <w:r w:rsidRPr="001B5B0C">
        <w:rPr>
          <w:rFonts w:cstheme="minorHAnsi"/>
          <w:sz w:val="20"/>
          <w:szCs w:val="20"/>
        </w:rPr>
        <w:t>LME = lactancia materna exclusiva. No-LME: lactancia materna no exclusiva. N = circunferencia de cintura normal. R</w:t>
      </w:r>
      <w:r>
        <w:rPr>
          <w:rFonts w:cstheme="minorHAnsi"/>
          <w:sz w:val="20"/>
          <w:szCs w:val="20"/>
        </w:rPr>
        <w:t>OA</w:t>
      </w:r>
      <w:r w:rsidRPr="001B5B0C">
        <w:rPr>
          <w:rFonts w:cstheme="minorHAnsi"/>
          <w:sz w:val="20"/>
          <w:szCs w:val="20"/>
        </w:rPr>
        <w:t xml:space="preserve"> = riesgo de obesidad abdominal según la circunferencia de cintura. OA = obesidad abdominal. Prueba de Kruskal-Wallis y post hoc. </w:t>
      </w:r>
      <w:r w:rsidRPr="001B5B0C">
        <w:rPr>
          <w:rFonts w:cstheme="minorHAnsi"/>
          <w:sz w:val="20"/>
          <w:szCs w:val="20"/>
          <w:lang w:val="en-US"/>
        </w:rPr>
        <w:t>Valor p: &lt;0,05</w:t>
      </w:r>
      <w:r w:rsidRPr="001B5B0C">
        <w:rPr>
          <w:rFonts w:cstheme="minorHAnsi"/>
          <w:lang w:val="en-US"/>
        </w:rPr>
        <w:t>.</w:t>
      </w:r>
    </w:p>
    <w:p w14:paraId="1102B02C" w14:textId="77777777" w:rsidR="00E6013D" w:rsidRDefault="00E6013D">
      <w:pPr>
        <w:rPr>
          <w:rFonts w:cstheme="minorHAnsi"/>
          <w:b/>
          <w:bCs/>
          <w:lang w:val="en-US"/>
        </w:rPr>
      </w:pPr>
    </w:p>
    <w:p w14:paraId="0B4D6A4A" w14:textId="30D316A9" w:rsidR="00F63EA6" w:rsidRPr="00FC28E6" w:rsidRDefault="00FC28E6">
      <w:pPr>
        <w:rPr>
          <w:rFonts w:cstheme="minorHAnsi"/>
          <w:b/>
          <w:bCs/>
        </w:rPr>
      </w:pPr>
      <w:r w:rsidRPr="00FC28E6">
        <w:rPr>
          <w:rFonts w:cstheme="minorHAnsi"/>
          <w:b/>
          <w:bCs/>
        </w:rPr>
        <w:t xml:space="preserve">Tabla 3: </w:t>
      </w:r>
      <w:r w:rsidRPr="001370BD">
        <w:rPr>
          <w:rFonts w:cstheme="minorHAnsi"/>
          <w:b/>
          <w:bCs/>
        </w:rPr>
        <w:t>Asociación de las dimensiones de la conducta alimentaria con el estado</w:t>
      </w:r>
      <w:r>
        <w:rPr>
          <w:rFonts w:cstheme="minorHAnsi"/>
          <w:b/>
          <w:bCs/>
        </w:rPr>
        <w:t xml:space="preserve"> nutricional </w:t>
      </w:r>
      <w:r w:rsidRPr="001370BD">
        <w:rPr>
          <w:rFonts w:cstheme="minorHAnsi"/>
          <w:b/>
          <w:bCs/>
        </w:rPr>
        <w:t>según lactancia materna exclusiva</w:t>
      </w:r>
    </w:p>
    <w:p w14:paraId="59098E0C" w14:textId="77777777" w:rsidR="00FC28E6" w:rsidRPr="00FC28E6" w:rsidRDefault="00FC28E6" w:rsidP="00FC28E6">
      <w:pPr>
        <w:rPr>
          <w:rFonts w:ascii="Times New Roman" w:hAnsi="Times New Roman" w:cs="Times New Roman"/>
        </w:rPr>
      </w:pPr>
    </w:p>
    <w:tbl>
      <w:tblPr>
        <w:tblStyle w:val="Tablanormal2"/>
        <w:tblW w:w="5000" w:type="pct"/>
        <w:tblLook w:val="04A0" w:firstRow="1" w:lastRow="0" w:firstColumn="1" w:lastColumn="0" w:noHBand="0" w:noVBand="1"/>
      </w:tblPr>
      <w:tblGrid>
        <w:gridCol w:w="1559"/>
        <w:gridCol w:w="1068"/>
        <w:gridCol w:w="1061"/>
        <w:gridCol w:w="1032"/>
        <w:gridCol w:w="99"/>
        <w:gridCol w:w="574"/>
        <w:gridCol w:w="1135"/>
        <w:gridCol w:w="795"/>
        <w:gridCol w:w="868"/>
        <w:gridCol w:w="647"/>
      </w:tblGrid>
      <w:tr w:rsidR="00FC28E6" w:rsidRPr="00FC28E6" w14:paraId="12B29968" w14:textId="77777777" w:rsidTr="00FC2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tcPr>
          <w:p w14:paraId="5E9B3959" w14:textId="77777777" w:rsidR="00FC28E6" w:rsidRPr="00FC28E6" w:rsidRDefault="00FC28E6" w:rsidP="00C024C8">
            <w:pPr>
              <w:rPr>
                <w:rFonts w:cstheme="minorHAnsi"/>
                <w:sz w:val="20"/>
                <w:szCs w:val="20"/>
              </w:rPr>
            </w:pPr>
          </w:p>
        </w:tc>
        <w:tc>
          <w:tcPr>
            <w:tcW w:w="1204" w:type="pct"/>
            <w:gridSpan w:val="2"/>
            <w:vAlign w:val="center"/>
          </w:tcPr>
          <w:p w14:paraId="03F4071E" w14:textId="3AA4746B"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LME</w:t>
            </w:r>
          </w:p>
        </w:tc>
        <w:tc>
          <w:tcPr>
            <w:tcW w:w="640" w:type="pct"/>
            <w:gridSpan w:val="2"/>
            <w:vAlign w:val="center"/>
          </w:tcPr>
          <w:p w14:paraId="43C1C012" w14:textId="77777777"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p>
        </w:tc>
        <w:tc>
          <w:tcPr>
            <w:tcW w:w="325" w:type="pct"/>
            <w:vAlign w:val="center"/>
          </w:tcPr>
          <w:p w14:paraId="7AF258E3" w14:textId="77777777"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p>
        </w:tc>
        <w:tc>
          <w:tcPr>
            <w:tcW w:w="1092" w:type="pct"/>
            <w:gridSpan w:val="2"/>
            <w:vAlign w:val="center"/>
          </w:tcPr>
          <w:p w14:paraId="3E490150" w14:textId="44A4AE61"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No-</w:t>
            </w:r>
            <w:r>
              <w:rPr>
                <w:rFonts w:cstheme="minorHAnsi"/>
                <w:sz w:val="20"/>
                <w:szCs w:val="20"/>
                <w:lang w:val="en-US"/>
              </w:rPr>
              <w:t>LME</w:t>
            </w:r>
          </w:p>
        </w:tc>
        <w:tc>
          <w:tcPr>
            <w:tcW w:w="491" w:type="pct"/>
            <w:vAlign w:val="center"/>
          </w:tcPr>
          <w:p w14:paraId="11C435DA" w14:textId="77777777"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p>
        </w:tc>
        <w:tc>
          <w:tcPr>
            <w:tcW w:w="366" w:type="pct"/>
            <w:vAlign w:val="center"/>
          </w:tcPr>
          <w:p w14:paraId="2F52B33B" w14:textId="77777777" w:rsidR="00FC28E6" w:rsidRPr="00FC28E6" w:rsidRDefault="00FC28E6" w:rsidP="00C024C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US"/>
              </w:rPr>
            </w:pPr>
          </w:p>
        </w:tc>
      </w:tr>
      <w:tr w:rsidR="00FC28E6" w:rsidRPr="00FC28E6" w14:paraId="4D62DDDB"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tcPr>
          <w:p w14:paraId="68B3DC62" w14:textId="77777777" w:rsidR="00FC28E6" w:rsidRPr="00FC28E6" w:rsidRDefault="00FC28E6" w:rsidP="00C024C8">
            <w:pPr>
              <w:rPr>
                <w:rFonts w:cstheme="minorHAnsi"/>
                <w:sz w:val="20"/>
                <w:szCs w:val="20"/>
                <w:lang w:val="en-US"/>
              </w:rPr>
            </w:pPr>
          </w:p>
        </w:tc>
        <w:tc>
          <w:tcPr>
            <w:tcW w:w="604" w:type="pct"/>
            <w:vAlign w:val="center"/>
          </w:tcPr>
          <w:p w14:paraId="571A7EE1"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w:t>
            </w:r>
          </w:p>
          <w:p w14:paraId="2E82716E"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n=24</w:t>
            </w:r>
          </w:p>
        </w:tc>
        <w:tc>
          <w:tcPr>
            <w:tcW w:w="600" w:type="pct"/>
            <w:vAlign w:val="center"/>
          </w:tcPr>
          <w:p w14:paraId="5D464DD2" w14:textId="6A155443"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SP</w:t>
            </w:r>
          </w:p>
          <w:p w14:paraId="6D24485A"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n=21</w:t>
            </w:r>
          </w:p>
        </w:tc>
        <w:tc>
          <w:tcPr>
            <w:tcW w:w="584" w:type="pct"/>
            <w:vAlign w:val="center"/>
          </w:tcPr>
          <w:p w14:paraId="23F8A772"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OB</w:t>
            </w:r>
          </w:p>
          <w:p w14:paraId="153C98E8"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n=9</w:t>
            </w:r>
          </w:p>
        </w:tc>
        <w:tc>
          <w:tcPr>
            <w:tcW w:w="381" w:type="pct"/>
            <w:gridSpan w:val="2"/>
            <w:vAlign w:val="center"/>
          </w:tcPr>
          <w:p w14:paraId="50C2C39D"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p-value</w:t>
            </w:r>
          </w:p>
        </w:tc>
        <w:tc>
          <w:tcPr>
            <w:tcW w:w="642" w:type="pct"/>
            <w:vAlign w:val="center"/>
          </w:tcPr>
          <w:p w14:paraId="5AD734E0"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w:t>
            </w:r>
          </w:p>
          <w:p w14:paraId="0D146339"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n=21</w:t>
            </w:r>
          </w:p>
        </w:tc>
        <w:tc>
          <w:tcPr>
            <w:tcW w:w="450" w:type="pct"/>
            <w:vAlign w:val="center"/>
          </w:tcPr>
          <w:p w14:paraId="622F401F" w14:textId="2D34C6D3"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SP</w:t>
            </w:r>
          </w:p>
          <w:p w14:paraId="49BBCADD"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n=18</w:t>
            </w:r>
          </w:p>
        </w:tc>
        <w:tc>
          <w:tcPr>
            <w:tcW w:w="491" w:type="pct"/>
            <w:vAlign w:val="center"/>
          </w:tcPr>
          <w:p w14:paraId="446265D0"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OB</w:t>
            </w:r>
          </w:p>
          <w:p w14:paraId="0DE8BB20" w14:textId="77777777"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n=15</w:t>
            </w:r>
          </w:p>
        </w:tc>
        <w:tc>
          <w:tcPr>
            <w:tcW w:w="366" w:type="pct"/>
            <w:vAlign w:val="center"/>
          </w:tcPr>
          <w:p w14:paraId="345F76F1" w14:textId="1AA1D550" w:rsidR="00FC28E6" w:rsidRPr="00FC28E6" w:rsidRDefault="00FC28E6" w:rsidP="00C024C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Valor p</w:t>
            </w:r>
          </w:p>
        </w:tc>
      </w:tr>
      <w:tr w:rsidR="00FC28E6" w:rsidRPr="00FC28E6" w14:paraId="47BF6C6D" w14:textId="77777777" w:rsidTr="00FC28E6">
        <w:tc>
          <w:tcPr>
            <w:cnfStyle w:val="001000000000" w:firstRow="0" w:lastRow="0" w:firstColumn="1" w:lastColumn="0" w:oddVBand="0" w:evenVBand="0" w:oddHBand="0" w:evenHBand="0" w:firstRowFirstColumn="0" w:firstRowLastColumn="0" w:lastRowFirstColumn="0" w:lastRowLastColumn="0"/>
            <w:tcW w:w="2086" w:type="pct"/>
            <w:gridSpan w:val="3"/>
          </w:tcPr>
          <w:p w14:paraId="6E748AD3" w14:textId="05569693" w:rsidR="00FC28E6" w:rsidRDefault="00FC28E6" w:rsidP="00FC28E6">
            <w:pPr>
              <w:rPr>
                <w:rFonts w:cstheme="minorHAnsi"/>
                <w:sz w:val="20"/>
                <w:szCs w:val="20"/>
                <w:lang w:val="en-US"/>
              </w:rPr>
            </w:pPr>
            <w:proofErr w:type="spellStart"/>
            <w:r>
              <w:rPr>
                <w:rFonts w:cstheme="minorHAnsi"/>
                <w:sz w:val="20"/>
                <w:szCs w:val="20"/>
                <w:lang w:val="en-US"/>
              </w:rPr>
              <w:t>Conductas</w:t>
            </w:r>
            <w:proofErr w:type="spellEnd"/>
            <w:r>
              <w:rPr>
                <w:rFonts w:cstheme="minorHAnsi"/>
                <w:sz w:val="20"/>
                <w:szCs w:val="20"/>
                <w:lang w:val="en-US"/>
              </w:rPr>
              <w:t xml:space="preserve"> pro ingesta</w:t>
            </w:r>
          </w:p>
        </w:tc>
        <w:tc>
          <w:tcPr>
            <w:tcW w:w="584" w:type="pct"/>
            <w:vAlign w:val="center"/>
          </w:tcPr>
          <w:p w14:paraId="07FEB0C0" w14:textId="77777777" w:rsidR="00FC28E6" w:rsidRP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381" w:type="pct"/>
            <w:gridSpan w:val="2"/>
            <w:vAlign w:val="center"/>
          </w:tcPr>
          <w:p w14:paraId="50CF5F09" w14:textId="77777777" w:rsidR="00FC28E6" w:rsidRP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642" w:type="pct"/>
            <w:vAlign w:val="center"/>
          </w:tcPr>
          <w:p w14:paraId="3E7DB955" w14:textId="77777777" w:rsidR="00FC28E6" w:rsidRP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450" w:type="pct"/>
            <w:vAlign w:val="center"/>
          </w:tcPr>
          <w:p w14:paraId="783BBC48" w14:textId="77777777" w:rsid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491" w:type="pct"/>
            <w:vAlign w:val="center"/>
          </w:tcPr>
          <w:p w14:paraId="26B2FE29" w14:textId="77777777" w:rsidR="00FC28E6" w:rsidRP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366" w:type="pct"/>
            <w:vAlign w:val="center"/>
          </w:tcPr>
          <w:p w14:paraId="3BCD22DE" w14:textId="77777777" w:rsidR="00FC28E6" w:rsidRDefault="00FC28E6" w:rsidP="00C024C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C28E6" w:rsidRPr="00FC28E6" w14:paraId="19DAAA65"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vAlign w:val="center"/>
          </w:tcPr>
          <w:p w14:paraId="64E60062" w14:textId="42828146" w:rsidR="00FC28E6" w:rsidRPr="00FC28E6" w:rsidRDefault="00FC28E6" w:rsidP="00FC28E6">
            <w:pPr>
              <w:rPr>
                <w:rFonts w:cstheme="minorHAnsi"/>
                <w:sz w:val="20"/>
                <w:szCs w:val="20"/>
              </w:rPr>
            </w:pPr>
            <w:r w:rsidRPr="00FC28E6">
              <w:rPr>
                <w:rFonts w:cstheme="minorHAnsi"/>
                <w:sz w:val="20"/>
                <w:szCs w:val="20"/>
              </w:rPr>
              <w:lastRenderedPageBreak/>
              <w:t>Disfrute de los Alimentos (EF)</w:t>
            </w:r>
          </w:p>
        </w:tc>
        <w:tc>
          <w:tcPr>
            <w:tcW w:w="1204" w:type="pct"/>
            <w:gridSpan w:val="2"/>
            <w:vAlign w:val="center"/>
          </w:tcPr>
          <w:p w14:paraId="1E0C6561"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3.25 [2.87-3.75</w:t>
            </w:r>
          </w:p>
          <w:p w14:paraId="15ECED78" w14:textId="2B3B53D9"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3.5 [2.75-4.0]</w:t>
            </w:r>
          </w:p>
        </w:tc>
        <w:tc>
          <w:tcPr>
            <w:tcW w:w="640" w:type="pct"/>
            <w:gridSpan w:val="2"/>
            <w:vAlign w:val="center"/>
          </w:tcPr>
          <w:p w14:paraId="3D5ED209"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3.5 [2.75-4.0]</w:t>
            </w:r>
          </w:p>
        </w:tc>
        <w:tc>
          <w:tcPr>
            <w:tcW w:w="325" w:type="pct"/>
            <w:vAlign w:val="center"/>
          </w:tcPr>
          <w:p w14:paraId="79AC7B02"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0.78</w:t>
            </w:r>
          </w:p>
        </w:tc>
        <w:tc>
          <w:tcPr>
            <w:tcW w:w="642" w:type="pct"/>
            <w:vAlign w:val="center"/>
          </w:tcPr>
          <w:p w14:paraId="68F7F076"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3.5 [2.75-4.</w:t>
            </w:r>
            <w:proofErr w:type="gramStart"/>
            <w:r w:rsidRPr="00FC28E6">
              <w:rPr>
                <w:rFonts w:cstheme="minorHAnsi"/>
                <w:sz w:val="20"/>
                <w:szCs w:val="20"/>
                <w:lang w:val="en-US"/>
              </w:rPr>
              <w:t>0]</w:t>
            </w:r>
            <w:r w:rsidRPr="00FC28E6">
              <w:rPr>
                <w:rFonts w:cstheme="minorHAnsi"/>
                <w:sz w:val="20"/>
                <w:szCs w:val="20"/>
                <w:vertAlign w:val="superscript"/>
                <w:lang w:val="en-US"/>
              </w:rPr>
              <w:t>a</w:t>
            </w:r>
            <w:proofErr w:type="gramEnd"/>
          </w:p>
          <w:p w14:paraId="0AD0DF13"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450" w:type="pct"/>
            <w:vAlign w:val="center"/>
          </w:tcPr>
          <w:p w14:paraId="0A0A873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3.5 [3.0-4.</w:t>
            </w:r>
            <w:proofErr w:type="gramStart"/>
            <w:r w:rsidRPr="00FC28E6">
              <w:rPr>
                <w:rFonts w:cstheme="minorHAnsi"/>
                <w:sz w:val="20"/>
                <w:szCs w:val="20"/>
                <w:lang w:val="en-US"/>
              </w:rPr>
              <w:t>0]</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491" w:type="pct"/>
            <w:vAlign w:val="center"/>
          </w:tcPr>
          <w:p w14:paraId="50F1FC02"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4.25 [4.0-4.75]</w:t>
            </w:r>
            <w:r w:rsidRPr="00FC28E6">
              <w:rPr>
                <w:rFonts w:cstheme="minorHAnsi"/>
                <w:sz w:val="20"/>
                <w:szCs w:val="20"/>
                <w:vertAlign w:val="superscript"/>
                <w:lang w:val="en-US"/>
              </w:rPr>
              <w:t>c</w:t>
            </w:r>
          </w:p>
        </w:tc>
        <w:tc>
          <w:tcPr>
            <w:tcW w:w="366" w:type="pct"/>
            <w:vAlign w:val="center"/>
          </w:tcPr>
          <w:p w14:paraId="6E5DA6F3"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0.00</w:t>
            </w:r>
          </w:p>
        </w:tc>
      </w:tr>
      <w:tr w:rsidR="00FC28E6" w:rsidRPr="00FC28E6" w14:paraId="7AC37F73" w14:textId="77777777" w:rsidTr="00FC28E6">
        <w:tc>
          <w:tcPr>
            <w:cnfStyle w:val="001000000000" w:firstRow="0" w:lastRow="0" w:firstColumn="1" w:lastColumn="0" w:oddVBand="0" w:evenVBand="0" w:oddHBand="0" w:evenHBand="0" w:firstRowFirstColumn="0" w:firstRowLastColumn="0" w:lastRowFirstColumn="0" w:lastRowLastColumn="0"/>
            <w:tcW w:w="882" w:type="pct"/>
            <w:vAlign w:val="center"/>
          </w:tcPr>
          <w:p w14:paraId="74C7B0BE" w14:textId="37AC29B5" w:rsidR="00FC28E6" w:rsidRPr="00FC28E6" w:rsidRDefault="00FC28E6" w:rsidP="00FC28E6">
            <w:pPr>
              <w:rPr>
                <w:rFonts w:cstheme="minorHAnsi"/>
                <w:sz w:val="20"/>
                <w:szCs w:val="20"/>
              </w:rPr>
            </w:pPr>
            <w:r w:rsidRPr="00FC28E6">
              <w:rPr>
                <w:rFonts w:cstheme="minorHAnsi"/>
                <w:sz w:val="20"/>
                <w:szCs w:val="20"/>
              </w:rPr>
              <w:t>Respuesta a los alimentos (FR)</w:t>
            </w:r>
          </w:p>
        </w:tc>
        <w:tc>
          <w:tcPr>
            <w:tcW w:w="604" w:type="pct"/>
            <w:vAlign w:val="center"/>
          </w:tcPr>
          <w:p w14:paraId="2BD450E0"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1.7 [1.4-2.2]</w:t>
            </w:r>
          </w:p>
        </w:tc>
        <w:tc>
          <w:tcPr>
            <w:tcW w:w="600" w:type="pct"/>
            <w:vAlign w:val="center"/>
          </w:tcPr>
          <w:p w14:paraId="0B2F71ED"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2.0 [1.2-2.6]</w:t>
            </w:r>
          </w:p>
        </w:tc>
        <w:tc>
          <w:tcPr>
            <w:tcW w:w="640" w:type="pct"/>
            <w:gridSpan w:val="2"/>
            <w:vAlign w:val="center"/>
          </w:tcPr>
          <w:p w14:paraId="36324EB1"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2.0 [1.6-3.0]</w:t>
            </w:r>
          </w:p>
        </w:tc>
        <w:tc>
          <w:tcPr>
            <w:tcW w:w="325" w:type="pct"/>
            <w:vAlign w:val="center"/>
          </w:tcPr>
          <w:p w14:paraId="43019B9E"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0.77</w:t>
            </w:r>
          </w:p>
        </w:tc>
        <w:tc>
          <w:tcPr>
            <w:tcW w:w="642" w:type="pct"/>
            <w:vAlign w:val="center"/>
          </w:tcPr>
          <w:p w14:paraId="2FBBC288"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1.4 [1.0-2.</w:t>
            </w:r>
            <w:proofErr w:type="gramStart"/>
            <w:r w:rsidRPr="00FC28E6">
              <w:rPr>
                <w:rFonts w:cstheme="minorHAnsi"/>
                <w:sz w:val="20"/>
                <w:szCs w:val="20"/>
                <w:lang w:val="en-US"/>
              </w:rPr>
              <w:t>0]</w:t>
            </w:r>
            <w:r w:rsidRPr="00FC28E6">
              <w:rPr>
                <w:rFonts w:cstheme="minorHAnsi"/>
                <w:sz w:val="20"/>
                <w:szCs w:val="20"/>
                <w:vertAlign w:val="superscript"/>
                <w:lang w:val="en-US"/>
              </w:rPr>
              <w:t>a</w:t>
            </w:r>
            <w:proofErr w:type="gramEnd"/>
          </w:p>
        </w:tc>
        <w:tc>
          <w:tcPr>
            <w:tcW w:w="450" w:type="pct"/>
            <w:vAlign w:val="center"/>
          </w:tcPr>
          <w:p w14:paraId="5122B5D8"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2.1 [1.2-2.</w:t>
            </w:r>
            <w:proofErr w:type="gramStart"/>
            <w:r w:rsidRPr="00FC28E6">
              <w:rPr>
                <w:rFonts w:cstheme="minorHAnsi"/>
                <w:sz w:val="20"/>
                <w:szCs w:val="20"/>
                <w:lang w:val="en-US"/>
              </w:rPr>
              <w:t>6]</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491" w:type="pct"/>
            <w:vAlign w:val="center"/>
          </w:tcPr>
          <w:p w14:paraId="3BA70286"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3.2 [2.4-3.4]</w:t>
            </w:r>
            <w:r w:rsidRPr="00FC28E6">
              <w:rPr>
                <w:rFonts w:cstheme="minorHAnsi"/>
                <w:sz w:val="20"/>
                <w:szCs w:val="20"/>
                <w:vertAlign w:val="superscript"/>
                <w:lang w:val="en-US"/>
              </w:rPr>
              <w:t>c</w:t>
            </w:r>
          </w:p>
        </w:tc>
        <w:tc>
          <w:tcPr>
            <w:tcW w:w="366" w:type="pct"/>
            <w:vAlign w:val="center"/>
          </w:tcPr>
          <w:p w14:paraId="1118AD78"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0.00</w:t>
            </w:r>
          </w:p>
        </w:tc>
      </w:tr>
      <w:tr w:rsidR="00FC28E6" w:rsidRPr="00FC28E6" w14:paraId="68DD6097"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vAlign w:val="center"/>
          </w:tcPr>
          <w:p w14:paraId="38FD5B16" w14:textId="4F5AFB87" w:rsidR="00FC28E6" w:rsidRPr="00FC28E6" w:rsidRDefault="00FC28E6" w:rsidP="00FC28E6">
            <w:pPr>
              <w:rPr>
                <w:rFonts w:cstheme="minorHAnsi"/>
                <w:sz w:val="20"/>
                <w:szCs w:val="20"/>
                <w:lang w:val="en-US"/>
              </w:rPr>
            </w:pPr>
            <w:r w:rsidRPr="00FC28E6">
              <w:rPr>
                <w:rFonts w:cstheme="minorHAnsi"/>
                <w:sz w:val="20"/>
                <w:szCs w:val="20"/>
              </w:rPr>
              <w:t>Sobre ingesta emocional (EOE)</w:t>
            </w:r>
          </w:p>
        </w:tc>
        <w:tc>
          <w:tcPr>
            <w:tcW w:w="604" w:type="pct"/>
            <w:vAlign w:val="center"/>
          </w:tcPr>
          <w:p w14:paraId="6A9C1BA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1.87 [1.25-2.25]</w:t>
            </w:r>
          </w:p>
        </w:tc>
        <w:tc>
          <w:tcPr>
            <w:tcW w:w="600" w:type="pct"/>
            <w:vAlign w:val="center"/>
          </w:tcPr>
          <w:p w14:paraId="01DDCC82"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2.25 [1.5-3.25]</w:t>
            </w:r>
          </w:p>
        </w:tc>
        <w:tc>
          <w:tcPr>
            <w:tcW w:w="640" w:type="pct"/>
            <w:gridSpan w:val="2"/>
            <w:vAlign w:val="center"/>
          </w:tcPr>
          <w:p w14:paraId="34FB4DDA"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2.0 [1.5-2.75]</w:t>
            </w:r>
          </w:p>
        </w:tc>
        <w:tc>
          <w:tcPr>
            <w:tcW w:w="325" w:type="pct"/>
            <w:vAlign w:val="center"/>
          </w:tcPr>
          <w:p w14:paraId="27E667A3"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0.18</w:t>
            </w:r>
          </w:p>
        </w:tc>
        <w:tc>
          <w:tcPr>
            <w:tcW w:w="642" w:type="pct"/>
            <w:vAlign w:val="center"/>
          </w:tcPr>
          <w:p w14:paraId="4D228E9D"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1.5 [1.0-2.</w:t>
            </w:r>
            <w:proofErr w:type="gramStart"/>
            <w:r w:rsidRPr="00FC28E6">
              <w:rPr>
                <w:rFonts w:cstheme="minorHAnsi"/>
                <w:sz w:val="20"/>
                <w:szCs w:val="20"/>
                <w:lang w:val="en-US"/>
              </w:rPr>
              <w:t>5]</w:t>
            </w:r>
            <w:r w:rsidRPr="00FC28E6">
              <w:rPr>
                <w:rFonts w:cstheme="minorHAnsi"/>
                <w:sz w:val="20"/>
                <w:szCs w:val="20"/>
                <w:vertAlign w:val="superscript"/>
                <w:lang w:val="en-US"/>
              </w:rPr>
              <w:t>a</w:t>
            </w:r>
            <w:proofErr w:type="gramEnd"/>
          </w:p>
        </w:tc>
        <w:tc>
          <w:tcPr>
            <w:tcW w:w="450" w:type="pct"/>
            <w:vAlign w:val="center"/>
          </w:tcPr>
          <w:p w14:paraId="41C5F1EE"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2.37 [1.25-3.</w:t>
            </w:r>
            <w:proofErr w:type="gramStart"/>
            <w:r w:rsidRPr="00FC28E6">
              <w:rPr>
                <w:rFonts w:cstheme="minorHAnsi"/>
                <w:sz w:val="20"/>
                <w:szCs w:val="20"/>
                <w:lang w:val="en-US"/>
              </w:rPr>
              <w:t>0]</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491" w:type="pct"/>
            <w:vAlign w:val="center"/>
          </w:tcPr>
          <w:p w14:paraId="61DF0995"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3.25 [2.75-3.75]</w:t>
            </w:r>
            <w:r w:rsidRPr="00FC28E6">
              <w:rPr>
                <w:rFonts w:cstheme="minorHAnsi"/>
                <w:sz w:val="20"/>
                <w:szCs w:val="20"/>
                <w:vertAlign w:val="superscript"/>
                <w:lang w:val="en-US"/>
              </w:rPr>
              <w:t>c</w:t>
            </w:r>
          </w:p>
        </w:tc>
        <w:tc>
          <w:tcPr>
            <w:tcW w:w="366" w:type="pct"/>
            <w:vAlign w:val="center"/>
          </w:tcPr>
          <w:p w14:paraId="447F75F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0.00</w:t>
            </w:r>
          </w:p>
        </w:tc>
      </w:tr>
      <w:tr w:rsidR="00FC28E6" w:rsidRPr="00FC28E6" w14:paraId="3EB3341B" w14:textId="77777777" w:rsidTr="00FC28E6">
        <w:tc>
          <w:tcPr>
            <w:cnfStyle w:val="001000000000" w:firstRow="0" w:lastRow="0" w:firstColumn="1" w:lastColumn="0" w:oddVBand="0" w:evenVBand="0" w:oddHBand="0" w:evenHBand="0" w:firstRowFirstColumn="0" w:firstRowLastColumn="0" w:lastRowFirstColumn="0" w:lastRowLastColumn="0"/>
            <w:tcW w:w="882" w:type="pct"/>
            <w:vAlign w:val="center"/>
          </w:tcPr>
          <w:p w14:paraId="0FCF7539" w14:textId="1F0879D8" w:rsidR="00FC28E6" w:rsidRPr="00FC28E6" w:rsidRDefault="00FC28E6" w:rsidP="00FC28E6">
            <w:pPr>
              <w:rPr>
                <w:rFonts w:cstheme="minorHAnsi"/>
                <w:sz w:val="20"/>
                <w:szCs w:val="20"/>
                <w:lang w:val="en-US"/>
              </w:rPr>
            </w:pPr>
            <w:r w:rsidRPr="00FC28E6">
              <w:rPr>
                <w:rFonts w:cstheme="minorHAnsi"/>
                <w:sz w:val="20"/>
                <w:szCs w:val="20"/>
              </w:rPr>
              <w:t>Deseo de beber (DD)</w:t>
            </w:r>
          </w:p>
        </w:tc>
        <w:tc>
          <w:tcPr>
            <w:tcW w:w="604" w:type="pct"/>
            <w:vAlign w:val="center"/>
          </w:tcPr>
          <w:p w14:paraId="24D0C28E"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[2.0-4.0]</w:t>
            </w:r>
          </w:p>
        </w:tc>
        <w:tc>
          <w:tcPr>
            <w:tcW w:w="600" w:type="pct"/>
            <w:vAlign w:val="center"/>
          </w:tcPr>
          <w:p w14:paraId="77C499EC"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2.33 [1.66-4.0]</w:t>
            </w:r>
          </w:p>
        </w:tc>
        <w:tc>
          <w:tcPr>
            <w:tcW w:w="640" w:type="pct"/>
            <w:gridSpan w:val="2"/>
            <w:vAlign w:val="center"/>
          </w:tcPr>
          <w:p w14:paraId="4C51F8DB"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4.0 [2.0-4.0]</w:t>
            </w:r>
          </w:p>
        </w:tc>
        <w:tc>
          <w:tcPr>
            <w:tcW w:w="325" w:type="pct"/>
            <w:vAlign w:val="center"/>
          </w:tcPr>
          <w:p w14:paraId="7FC4C8CA"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0.64</w:t>
            </w:r>
          </w:p>
        </w:tc>
        <w:tc>
          <w:tcPr>
            <w:tcW w:w="642" w:type="pct"/>
            <w:vAlign w:val="center"/>
          </w:tcPr>
          <w:p w14:paraId="3B57E86A"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[2.0-4.0]</w:t>
            </w:r>
          </w:p>
        </w:tc>
        <w:tc>
          <w:tcPr>
            <w:tcW w:w="450" w:type="pct"/>
            <w:vAlign w:val="center"/>
          </w:tcPr>
          <w:p w14:paraId="367C0E3D"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4.0 [3.0-4.6]</w:t>
            </w:r>
          </w:p>
        </w:tc>
        <w:tc>
          <w:tcPr>
            <w:tcW w:w="491" w:type="pct"/>
            <w:vAlign w:val="center"/>
          </w:tcPr>
          <w:p w14:paraId="503B0AE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3.33 [2.0-5.0]</w:t>
            </w:r>
          </w:p>
        </w:tc>
        <w:tc>
          <w:tcPr>
            <w:tcW w:w="366" w:type="pct"/>
            <w:vAlign w:val="center"/>
          </w:tcPr>
          <w:p w14:paraId="041F4553"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0.38</w:t>
            </w:r>
          </w:p>
        </w:tc>
      </w:tr>
      <w:tr w:rsidR="00FC28E6" w:rsidRPr="00FC28E6" w14:paraId="09689EAE"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pct"/>
            <w:gridSpan w:val="3"/>
            <w:vAlign w:val="center"/>
          </w:tcPr>
          <w:p w14:paraId="6667D979" w14:textId="40890D8C" w:rsidR="00FC28E6" w:rsidRPr="00FC28E6" w:rsidRDefault="00FC28E6" w:rsidP="00FC28E6">
            <w:pPr>
              <w:jc w:val="center"/>
              <w:rPr>
                <w:rFonts w:cstheme="minorHAnsi"/>
                <w:sz w:val="20"/>
                <w:szCs w:val="20"/>
                <w:lang w:val="en-US"/>
              </w:rPr>
            </w:pPr>
            <w:r w:rsidRPr="00FC28E6">
              <w:rPr>
                <w:rFonts w:cstheme="minorHAnsi"/>
                <w:sz w:val="20"/>
                <w:szCs w:val="20"/>
              </w:rPr>
              <w:t xml:space="preserve">Conductas evitativas alimentación </w:t>
            </w:r>
          </w:p>
        </w:tc>
        <w:tc>
          <w:tcPr>
            <w:tcW w:w="640" w:type="pct"/>
            <w:gridSpan w:val="2"/>
            <w:vAlign w:val="center"/>
          </w:tcPr>
          <w:p w14:paraId="390EE94C"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325" w:type="pct"/>
            <w:vAlign w:val="center"/>
          </w:tcPr>
          <w:p w14:paraId="0C18E97F"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642" w:type="pct"/>
            <w:vAlign w:val="center"/>
          </w:tcPr>
          <w:p w14:paraId="32C25B4B"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450" w:type="pct"/>
            <w:vAlign w:val="center"/>
          </w:tcPr>
          <w:p w14:paraId="653521E3"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491" w:type="pct"/>
            <w:vAlign w:val="center"/>
          </w:tcPr>
          <w:p w14:paraId="4261F2E8"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c>
          <w:tcPr>
            <w:tcW w:w="366" w:type="pct"/>
            <w:vAlign w:val="center"/>
          </w:tcPr>
          <w:p w14:paraId="42B08845"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p>
        </w:tc>
      </w:tr>
      <w:tr w:rsidR="00FC28E6" w:rsidRPr="00FC28E6" w14:paraId="74789FDE" w14:textId="77777777" w:rsidTr="00FC28E6">
        <w:tc>
          <w:tcPr>
            <w:cnfStyle w:val="001000000000" w:firstRow="0" w:lastRow="0" w:firstColumn="1" w:lastColumn="0" w:oddVBand="0" w:evenVBand="0" w:oddHBand="0" w:evenHBand="0" w:firstRowFirstColumn="0" w:firstRowLastColumn="0" w:lastRowFirstColumn="0" w:lastRowLastColumn="0"/>
            <w:tcW w:w="882" w:type="pct"/>
            <w:vAlign w:val="center"/>
          </w:tcPr>
          <w:p w14:paraId="0D9C2400" w14:textId="27EC9CE3" w:rsidR="00FC28E6" w:rsidRPr="00FC28E6" w:rsidRDefault="00FC28E6" w:rsidP="00FC28E6">
            <w:pPr>
              <w:rPr>
                <w:rFonts w:cstheme="minorHAnsi"/>
                <w:sz w:val="20"/>
                <w:szCs w:val="20"/>
              </w:rPr>
            </w:pPr>
            <w:r w:rsidRPr="00FC28E6">
              <w:rPr>
                <w:rFonts w:cstheme="minorHAnsi"/>
                <w:sz w:val="20"/>
                <w:szCs w:val="20"/>
              </w:rPr>
              <w:t>Respuesta a la saciedad (SR)</w:t>
            </w:r>
          </w:p>
        </w:tc>
        <w:tc>
          <w:tcPr>
            <w:tcW w:w="604" w:type="pct"/>
            <w:vAlign w:val="center"/>
          </w:tcPr>
          <w:p w14:paraId="3A1DBC9D"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3.1 [2.9-3.</w:t>
            </w:r>
            <w:proofErr w:type="gramStart"/>
            <w:r w:rsidRPr="00FC28E6">
              <w:rPr>
                <w:rFonts w:cstheme="minorHAnsi"/>
                <w:sz w:val="20"/>
                <w:szCs w:val="20"/>
                <w:lang w:val="en-US"/>
              </w:rPr>
              <w:t>6]</w:t>
            </w:r>
            <w:r w:rsidRPr="00FC28E6">
              <w:rPr>
                <w:rFonts w:cstheme="minorHAnsi"/>
                <w:sz w:val="20"/>
                <w:szCs w:val="20"/>
                <w:vertAlign w:val="superscript"/>
                <w:lang w:val="en-US"/>
              </w:rPr>
              <w:t>a</w:t>
            </w:r>
            <w:proofErr w:type="gramEnd"/>
          </w:p>
        </w:tc>
        <w:tc>
          <w:tcPr>
            <w:tcW w:w="600" w:type="pct"/>
            <w:vAlign w:val="center"/>
          </w:tcPr>
          <w:p w14:paraId="21D997B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2.8 [2.6-3.</w:t>
            </w:r>
            <w:proofErr w:type="gramStart"/>
            <w:r w:rsidRPr="00FC28E6">
              <w:rPr>
                <w:rFonts w:cstheme="minorHAnsi"/>
                <w:sz w:val="20"/>
                <w:szCs w:val="20"/>
                <w:lang w:val="en-US"/>
              </w:rPr>
              <w:t>4]</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640" w:type="pct"/>
            <w:gridSpan w:val="2"/>
            <w:vAlign w:val="center"/>
          </w:tcPr>
          <w:p w14:paraId="339F4385"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2.4 [2.2-2.</w:t>
            </w:r>
            <w:proofErr w:type="gramStart"/>
            <w:r w:rsidRPr="00FC28E6">
              <w:rPr>
                <w:rFonts w:cstheme="minorHAnsi"/>
                <w:sz w:val="20"/>
                <w:szCs w:val="20"/>
                <w:lang w:val="en-US"/>
              </w:rPr>
              <w:t>8]</w:t>
            </w:r>
            <w:r w:rsidRPr="00FC28E6">
              <w:rPr>
                <w:rFonts w:cstheme="minorHAnsi"/>
                <w:sz w:val="20"/>
                <w:szCs w:val="20"/>
                <w:vertAlign w:val="superscript"/>
                <w:lang w:val="en-US"/>
              </w:rPr>
              <w:t>b</w:t>
            </w:r>
            <w:proofErr w:type="gramEnd"/>
          </w:p>
        </w:tc>
        <w:tc>
          <w:tcPr>
            <w:tcW w:w="325" w:type="pct"/>
            <w:vAlign w:val="center"/>
          </w:tcPr>
          <w:p w14:paraId="7FEE0394"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0.00</w:t>
            </w:r>
          </w:p>
        </w:tc>
        <w:tc>
          <w:tcPr>
            <w:tcW w:w="642" w:type="pct"/>
            <w:vAlign w:val="center"/>
          </w:tcPr>
          <w:p w14:paraId="690C42CB"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[2.6-3.6]</w:t>
            </w:r>
          </w:p>
        </w:tc>
        <w:tc>
          <w:tcPr>
            <w:tcW w:w="450" w:type="pct"/>
            <w:vAlign w:val="center"/>
          </w:tcPr>
          <w:p w14:paraId="166B53AB"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2.8 [2.4-3.2]</w:t>
            </w:r>
          </w:p>
        </w:tc>
        <w:tc>
          <w:tcPr>
            <w:tcW w:w="491" w:type="pct"/>
            <w:vAlign w:val="center"/>
          </w:tcPr>
          <w:p w14:paraId="2E758C82"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2.8 [2.2-3.2]</w:t>
            </w:r>
          </w:p>
        </w:tc>
        <w:tc>
          <w:tcPr>
            <w:tcW w:w="366" w:type="pct"/>
            <w:vAlign w:val="center"/>
          </w:tcPr>
          <w:p w14:paraId="6E9C1258"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0.28</w:t>
            </w:r>
          </w:p>
        </w:tc>
      </w:tr>
      <w:tr w:rsidR="00FC28E6" w:rsidRPr="00FC28E6" w14:paraId="081EC7D7"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vAlign w:val="center"/>
          </w:tcPr>
          <w:p w14:paraId="529A090C" w14:textId="5BB80780" w:rsidR="00FC28E6" w:rsidRPr="00FC28E6" w:rsidRDefault="00FC28E6" w:rsidP="00FC28E6">
            <w:pPr>
              <w:rPr>
                <w:rFonts w:cstheme="minorHAnsi"/>
                <w:sz w:val="20"/>
                <w:szCs w:val="20"/>
                <w:lang w:val="en-US"/>
              </w:rPr>
            </w:pPr>
            <w:r w:rsidRPr="00FC28E6">
              <w:rPr>
                <w:rFonts w:cstheme="minorHAnsi"/>
                <w:sz w:val="20"/>
                <w:szCs w:val="20"/>
              </w:rPr>
              <w:t>Lentitud al comer (SE)</w:t>
            </w:r>
          </w:p>
        </w:tc>
        <w:tc>
          <w:tcPr>
            <w:tcW w:w="604" w:type="pct"/>
            <w:vAlign w:val="center"/>
          </w:tcPr>
          <w:p w14:paraId="7A5A05DF"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[2.62-4.25]</w:t>
            </w:r>
          </w:p>
        </w:tc>
        <w:tc>
          <w:tcPr>
            <w:tcW w:w="600" w:type="pct"/>
            <w:vAlign w:val="center"/>
          </w:tcPr>
          <w:p w14:paraId="6AA02728"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2.75 [2.0-3.75]</w:t>
            </w:r>
          </w:p>
        </w:tc>
        <w:tc>
          <w:tcPr>
            <w:tcW w:w="640" w:type="pct"/>
            <w:gridSpan w:val="2"/>
            <w:vAlign w:val="center"/>
          </w:tcPr>
          <w:p w14:paraId="1D0B2025"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2.5 [2.5-3.0]</w:t>
            </w:r>
          </w:p>
        </w:tc>
        <w:tc>
          <w:tcPr>
            <w:tcW w:w="325" w:type="pct"/>
            <w:vAlign w:val="center"/>
          </w:tcPr>
          <w:p w14:paraId="4EDCF386"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0.14</w:t>
            </w:r>
          </w:p>
        </w:tc>
        <w:tc>
          <w:tcPr>
            <w:tcW w:w="642" w:type="pct"/>
            <w:vAlign w:val="center"/>
          </w:tcPr>
          <w:p w14:paraId="0D772B7B"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3.0 [2.25-4.</w:t>
            </w:r>
            <w:proofErr w:type="gramStart"/>
            <w:r w:rsidRPr="00FC28E6">
              <w:rPr>
                <w:rFonts w:cstheme="minorHAnsi"/>
                <w:sz w:val="20"/>
                <w:szCs w:val="20"/>
                <w:lang w:val="en-US"/>
              </w:rPr>
              <w:t>0]</w:t>
            </w:r>
            <w:r w:rsidRPr="00FC28E6">
              <w:rPr>
                <w:rFonts w:cstheme="minorHAnsi"/>
                <w:sz w:val="20"/>
                <w:szCs w:val="20"/>
                <w:vertAlign w:val="superscript"/>
                <w:lang w:val="en-US"/>
              </w:rPr>
              <w:t>a</w:t>
            </w:r>
            <w:proofErr w:type="gramEnd"/>
          </w:p>
        </w:tc>
        <w:tc>
          <w:tcPr>
            <w:tcW w:w="450" w:type="pct"/>
            <w:vAlign w:val="center"/>
          </w:tcPr>
          <w:p w14:paraId="2FCBD252"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2.5 [2.0-3.</w:t>
            </w:r>
            <w:proofErr w:type="gramStart"/>
            <w:r w:rsidRPr="00FC28E6">
              <w:rPr>
                <w:rFonts w:cstheme="minorHAnsi"/>
                <w:sz w:val="20"/>
                <w:szCs w:val="20"/>
                <w:lang w:val="en-US"/>
              </w:rPr>
              <w:t>5]</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491" w:type="pct"/>
            <w:vAlign w:val="center"/>
          </w:tcPr>
          <w:p w14:paraId="395055F4"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2.5 [1.75-2.</w:t>
            </w:r>
            <w:proofErr w:type="gramStart"/>
            <w:r w:rsidRPr="00FC28E6">
              <w:rPr>
                <w:rFonts w:cstheme="minorHAnsi"/>
                <w:sz w:val="20"/>
                <w:szCs w:val="20"/>
                <w:lang w:val="en-US"/>
              </w:rPr>
              <w:t>5]</w:t>
            </w:r>
            <w:r w:rsidRPr="00FC28E6">
              <w:rPr>
                <w:rFonts w:cstheme="minorHAnsi"/>
                <w:sz w:val="20"/>
                <w:szCs w:val="20"/>
                <w:vertAlign w:val="superscript"/>
                <w:lang w:val="en-US"/>
              </w:rPr>
              <w:t>b</w:t>
            </w:r>
            <w:proofErr w:type="gramEnd"/>
          </w:p>
        </w:tc>
        <w:tc>
          <w:tcPr>
            <w:tcW w:w="366" w:type="pct"/>
            <w:vAlign w:val="center"/>
          </w:tcPr>
          <w:p w14:paraId="59FE340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0.03</w:t>
            </w:r>
          </w:p>
        </w:tc>
      </w:tr>
      <w:tr w:rsidR="00FC28E6" w:rsidRPr="00FC28E6" w14:paraId="6EC060B2" w14:textId="77777777" w:rsidTr="00FC28E6">
        <w:tc>
          <w:tcPr>
            <w:cnfStyle w:val="001000000000" w:firstRow="0" w:lastRow="0" w:firstColumn="1" w:lastColumn="0" w:oddVBand="0" w:evenVBand="0" w:oddHBand="0" w:evenHBand="0" w:firstRowFirstColumn="0" w:firstRowLastColumn="0" w:lastRowFirstColumn="0" w:lastRowLastColumn="0"/>
            <w:tcW w:w="882" w:type="pct"/>
            <w:vAlign w:val="center"/>
          </w:tcPr>
          <w:p w14:paraId="1FE527AC" w14:textId="4FF169A6" w:rsidR="00FC28E6" w:rsidRPr="00FC28E6" w:rsidRDefault="00FC28E6" w:rsidP="00FC28E6">
            <w:pPr>
              <w:rPr>
                <w:rFonts w:cstheme="minorHAnsi"/>
                <w:sz w:val="20"/>
                <w:szCs w:val="20"/>
                <w:lang w:val="en-US"/>
              </w:rPr>
            </w:pPr>
            <w:r w:rsidRPr="00FC28E6">
              <w:rPr>
                <w:rFonts w:cstheme="minorHAnsi"/>
                <w:sz w:val="20"/>
                <w:szCs w:val="20"/>
              </w:rPr>
              <w:t>Sub ingesta emocional (EUE)</w:t>
            </w:r>
          </w:p>
        </w:tc>
        <w:tc>
          <w:tcPr>
            <w:tcW w:w="604" w:type="pct"/>
            <w:vAlign w:val="center"/>
          </w:tcPr>
          <w:p w14:paraId="352FBD8A"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2.75 [2.0-3.0]</w:t>
            </w:r>
          </w:p>
        </w:tc>
        <w:tc>
          <w:tcPr>
            <w:tcW w:w="600" w:type="pct"/>
            <w:vAlign w:val="center"/>
          </w:tcPr>
          <w:p w14:paraId="038718A0"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2.75 [2.0-3.0]</w:t>
            </w:r>
          </w:p>
        </w:tc>
        <w:tc>
          <w:tcPr>
            <w:tcW w:w="640" w:type="pct"/>
            <w:gridSpan w:val="2"/>
            <w:vAlign w:val="center"/>
          </w:tcPr>
          <w:p w14:paraId="70C85C28"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2.25 [2.0-2.75]</w:t>
            </w:r>
          </w:p>
        </w:tc>
        <w:tc>
          <w:tcPr>
            <w:tcW w:w="325" w:type="pct"/>
            <w:vAlign w:val="center"/>
          </w:tcPr>
          <w:p w14:paraId="518466E9"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0.48</w:t>
            </w:r>
          </w:p>
        </w:tc>
        <w:tc>
          <w:tcPr>
            <w:tcW w:w="642" w:type="pct"/>
            <w:vAlign w:val="center"/>
          </w:tcPr>
          <w:p w14:paraId="5F6CE690"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2.75 [2.0-3.0]</w:t>
            </w:r>
          </w:p>
        </w:tc>
        <w:tc>
          <w:tcPr>
            <w:tcW w:w="450" w:type="pct"/>
            <w:vAlign w:val="center"/>
          </w:tcPr>
          <w:p w14:paraId="6FD60E0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2.75 [2.25-3.25]</w:t>
            </w:r>
          </w:p>
        </w:tc>
        <w:tc>
          <w:tcPr>
            <w:tcW w:w="491" w:type="pct"/>
            <w:vAlign w:val="center"/>
          </w:tcPr>
          <w:p w14:paraId="01E636E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2.5 [1.5-3.25]</w:t>
            </w:r>
          </w:p>
        </w:tc>
        <w:tc>
          <w:tcPr>
            <w:tcW w:w="366" w:type="pct"/>
            <w:vAlign w:val="center"/>
          </w:tcPr>
          <w:p w14:paraId="77D62E6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sidRPr="00FC28E6">
              <w:rPr>
                <w:rFonts w:cstheme="minorHAnsi"/>
                <w:sz w:val="20"/>
                <w:szCs w:val="20"/>
                <w:lang w:val="en-US"/>
              </w:rPr>
              <w:t>0.65</w:t>
            </w:r>
          </w:p>
        </w:tc>
      </w:tr>
      <w:tr w:rsidR="00FC28E6" w:rsidRPr="00FC28E6" w14:paraId="528D0D69"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vAlign w:val="center"/>
          </w:tcPr>
          <w:p w14:paraId="654A6DB2" w14:textId="681738BD" w:rsidR="00FC28E6" w:rsidRPr="00FC28E6" w:rsidRDefault="00FC28E6" w:rsidP="00FC28E6">
            <w:pPr>
              <w:rPr>
                <w:rFonts w:cstheme="minorHAnsi"/>
                <w:sz w:val="20"/>
                <w:szCs w:val="20"/>
                <w:lang w:val="en-US"/>
              </w:rPr>
            </w:pPr>
            <w:r w:rsidRPr="00FC28E6">
              <w:rPr>
                <w:rFonts w:cstheme="minorHAnsi"/>
                <w:sz w:val="20"/>
                <w:szCs w:val="20"/>
              </w:rPr>
              <w:t>Selectividad al comer (FF)</w:t>
            </w:r>
          </w:p>
        </w:tc>
        <w:tc>
          <w:tcPr>
            <w:tcW w:w="604" w:type="pct"/>
            <w:vAlign w:val="center"/>
          </w:tcPr>
          <w:p w14:paraId="735F2831"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2.83 [2.66-3.5]</w:t>
            </w:r>
          </w:p>
        </w:tc>
        <w:tc>
          <w:tcPr>
            <w:tcW w:w="600" w:type="pct"/>
            <w:vAlign w:val="center"/>
          </w:tcPr>
          <w:p w14:paraId="2495DA89"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[2.5-4.16]</w:t>
            </w:r>
          </w:p>
        </w:tc>
        <w:tc>
          <w:tcPr>
            <w:tcW w:w="640" w:type="pct"/>
            <w:gridSpan w:val="2"/>
            <w:vAlign w:val="center"/>
          </w:tcPr>
          <w:p w14:paraId="23ED81A1"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[2.33-3.16]</w:t>
            </w:r>
          </w:p>
        </w:tc>
        <w:tc>
          <w:tcPr>
            <w:tcW w:w="325" w:type="pct"/>
            <w:vAlign w:val="center"/>
          </w:tcPr>
          <w:p w14:paraId="6992B861"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0.66</w:t>
            </w:r>
          </w:p>
        </w:tc>
        <w:tc>
          <w:tcPr>
            <w:tcW w:w="642" w:type="pct"/>
            <w:vAlign w:val="center"/>
          </w:tcPr>
          <w:p w14:paraId="3CB85899"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3.33 [2.83-3.83]</w:t>
            </w:r>
          </w:p>
        </w:tc>
        <w:tc>
          <w:tcPr>
            <w:tcW w:w="450" w:type="pct"/>
            <w:vAlign w:val="center"/>
          </w:tcPr>
          <w:p w14:paraId="072BCCFD"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3.0 [2.6-3.5]</w:t>
            </w:r>
          </w:p>
        </w:tc>
        <w:tc>
          <w:tcPr>
            <w:tcW w:w="491" w:type="pct"/>
            <w:vAlign w:val="center"/>
          </w:tcPr>
          <w:p w14:paraId="3663AC80"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3.5 [3.16-4.16]</w:t>
            </w:r>
          </w:p>
        </w:tc>
        <w:tc>
          <w:tcPr>
            <w:tcW w:w="366" w:type="pct"/>
            <w:vAlign w:val="center"/>
          </w:tcPr>
          <w:p w14:paraId="28DD72E2"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FC28E6">
              <w:rPr>
                <w:rFonts w:cstheme="minorHAnsi"/>
                <w:sz w:val="20"/>
                <w:szCs w:val="20"/>
                <w:lang w:val="en-US"/>
              </w:rPr>
              <w:t>0.09</w:t>
            </w:r>
          </w:p>
        </w:tc>
      </w:tr>
      <w:tr w:rsidR="00FC28E6" w:rsidRPr="00FC28E6" w14:paraId="7146F8E8" w14:textId="77777777" w:rsidTr="00FC28E6">
        <w:tc>
          <w:tcPr>
            <w:cnfStyle w:val="001000000000" w:firstRow="0" w:lastRow="0" w:firstColumn="1" w:lastColumn="0" w:oddVBand="0" w:evenVBand="0" w:oddHBand="0" w:evenHBand="0" w:firstRowFirstColumn="0" w:firstRowLastColumn="0" w:lastRowFirstColumn="0" w:lastRowLastColumn="0"/>
            <w:tcW w:w="882" w:type="pct"/>
            <w:vAlign w:val="center"/>
          </w:tcPr>
          <w:p w14:paraId="08484FA9" w14:textId="77777777" w:rsidR="00FC28E6" w:rsidRPr="00FC28E6" w:rsidRDefault="00FC28E6" w:rsidP="00FC28E6">
            <w:pPr>
              <w:rPr>
                <w:rFonts w:cstheme="minorHAnsi"/>
                <w:sz w:val="20"/>
                <w:szCs w:val="20"/>
                <w:lang w:val="en-US"/>
              </w:rPr>
            </w:pPr>
          </w:p>
        </w:tc>
        <w:tc>
          <w:tcPr>
            <w:tcW w:w="604" w:type="pct"/>
            <w:vAlign w:val="center"/>
          </w:tcPr>
          <w:p w14:paraId="5924CA0E"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600" w:type="pct"/>
            <w:vAlign w:val="center"/>
          </w:tcPr>
          <w:p w14:paraId="736855BF"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640" w:type="pct"/>
            <w:gridSpan w:val="2"/>
            <w:vAlign w:val="center"/>
          </w:tcPr>
          <w:p w14:paraId="04AE785A"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325" w:type="pct"/>
            <w:vAlign w:val="center"/>
          </w:tcPr>
          <w:p w14:paraId="344BC0D4"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642" w:type="pct"/>
            <w:vAlign w:val="center"/>
          </w:tcPr>
          <w:p w14:paraId="59315E54"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450" w:type="pct"/>
            <w:vAlign w:val="center"/>
          </w:tcPr>
          <w:p w14:paraId="55FCAA22"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491" w:type="pct"/>
            <w:vAlign w:val="center"/>
          </w:tcPr>
          <w:p w14:paraId="5917D096"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c>
          <w:tcPr>
            <w:tcW w:w="366" w:type="pct"/>
            <w:vAlign w:val="center"/>
          </w:tcPr>
          <w:p w14:paraId="01A9FC76" w14:textId="77777777" w:rsidR="00FC28E6" w:rsidRPr="00FC28E6" w:rsidRDefault="00FC28E6" w:rsidP="00FC28E6">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C28E6" w:rsidRPr="00FC28E6" w14:paraId="6AC29D67" w14:textId="77777777" w:rsidTr="00FC2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vAlign w:val="center"/>
          </w:tcPr>
          <w:p w14:paraId="4AC7C568" w14:textId="412C3AC0" w:rsidR="00FC28E6" w:rsidRPr="00FC28E6" w:rsidRDefault="00FC28E6" w:rsidP="00FC28E6">
            <w:pPr>
              <w:rPr>
                <w:rFonts w:cstheme="minorHAnsi"/>
                <w:sz w:val="20"/>
                <w:szCs w:val="20"/>
                <w:lang w:val="en-US"/>
              </w:rPr>
            </w:pPr>
            <w:r w:rsidRPr="00FC28E6">
              <w:rPr>
                <w:rFonts w:cstheme="minorHAnsi"/>
                <w:sz w:val="20"/>
                <w:szCs w:val="20"/>
              </w:rPr>
              <w:t xml:space="preserve">Ratio </w:t>
            </w:r>
          </w:p>
        </w:tc>
        <w:tc>
          <w:tcPr>
            <w:tcW w:w="604" w:type="pct"/>
            <w:vAlign w:val="center"/>
          </w:tcPr>
          <w:p w14:paraId="6CED062A"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0.79 [0.65-0.</w:t>
            </w:r>
            <w:proofErr w:type="gramStart"/>
            <w:r w:rsidRPr="00FC28E6">
              <w:rPr>
                <w:rFonts w:cstheme="minorHAnsi"/>
                <w:sz w:val="20"/>
                <w:szCs w:val="20"/>
                <w:lang w:val="en-US"/>
              </w:rPr>
              <w:t>95]</w:t>
            </w:r>
            <w:r w:rsidRPr="00FC28E6">
              <w:rPr>
                <w:rFonts w:cstheme="minorHAnsi"/>
                <w:sz w:val="20"/>
                <w:szCs w:val="20"/>
                <w:vertAlign w:val="superscript"/>
                <w:lang w:val="en-US"/>
              </w:rPr>
              <w:t>a</w:t>
            </w:r>
            <w:proofErr w:type="gramEnd"/>
          </w:p>
        </w:tc>
        <w:tc>
          <w:tcPr>
            <w:tcW w:w="600" w:type="pct"/>
            <w:vAlign w:val="center"/>
          </w:tcPr>
          <w:p w14:paraId="5C125BDD"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0.9 [0.81-1.</w:t>
            </w:r>
            <w:proofErr w:type="gramStart"/>
            <w:r w:rsidRPr="00FC28E6">
              <w:rPr>
                <w:rFonts w:cstheme="minorHAnsi"/>
                <w:sz w:val="20"/>
                <w:szCs w:val="20"/>
                <w:lang w:val="en-US"/>
              </w:rPr>
              <w:t>06]</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640" w:type="pct"/>
            <w:gridSpan w:val="2"/>
            <w:vAlign w:val="center"/>
          </w:tcPr>
          <w:p w14:paraId="475B089F"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1.0 [0.91-1.</w:t>
            </w:r>
            <w:proofErr w:type="gramStart"/>
            <w:r w:rsidRPr="00FC28E6">
              <w:rPr>
                <w:rFonts w:cstheme="minorHAnsi"/>
                <w:sz w:val="20"/>
                <w:szCs w:val="20"/>
                <w:lang w:val="en-US"/>
              </w:rPr>
              <w:t>13]</w:t>
            </w:r>
            <w:r w:rsidRPr="00FC28E6">
              <w:rPr>
                <w:rFonts w:cstheme="minorHAnsi"/>
                <w:sz w:val="20"/>
                <w:szCs w:val="20"/>
                <w:vertAlign w:val="superscript"/>
                <w:lang w:val="en-US"/>
              </w:rPr>
              <w:t>b</w:t>
            </w:r>
            <w:proofErr w:type="gramEnd"/>
          </w:p>
        </w:tc>
        <w:tc>
          <w:tcPr>
            <w:tcW w:w="325" w:type="pct"/>
            <w:vAlign w:val="center"/>
          </w:tcPr>
          <w:p w14:paraId="0A66A5B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0.02</w:t>
            </w:r>
          </w:p>
        </w:tc>
        <w:tc>
          <w:tcPr>
            <w:tcW w:w="642" w:type="pct"/>
            <w:vAlign w:val="center"/>
          </w:tcPr>
          <w:p w14:paraId="1EF00AD0"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0.91 [0.74-1.</w:t>
            </w:r>
            <w:proofErr w:type="gramStart"/>
            <w:r w:rsidRPr="00FC28E6">
              <w:rPr>
                <w:rFonts w:cstheme="minorHAnsi"/>
                <w:sz w:val="20"/>
                <w:szCs w:val="20"/>
                <w:lang w:val="en-US"/>
              </w:rPr>
              <w:t>01]</w:t>
            </w:r>
            <w:r w:rsidRPr="00FC28E6">
              <w:rPr>
                <w:rFonts w:cstheme="minorHAnsi"/>
                <w:sz w:val="20"/>
                <w:szCs w:val="20"/>
                <w:vertAlign w:val="superscript"/>
                <w:lang w:val="en-US"/>
              </w:rPr>
              <w:t>a</w:t>
            </w:r>
            <w:proofErr w:type="gramEnd"/>
          </w:p>
        </w:tc>
        <w:tc>
          <w:tcPr>
            <w:tcW w:w="450" w:type="pct"/>
            <w:vAlign w:val="center"/>
          </w:tcPr>
          <w:p w14:paraId="79DBA347"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1.02 [0.78-1.</w:t>
            </w:r>
            <w:proofErr w:type="gramStart"/>
            <w:r w:rsidRPr="00FC28E6">
              <w:rPr>
                <w:rFonts w:cstheme="minorHAnsi"/>
                <w:sz w:val="20"/>
                <w:szCs w:val="20"/>
                <w:lang w:val="en-US"/>
              </w:rPr>
              <w:t>18]</w:t>
            </w:r>
            <w:proofErr w:type="spellStart"/>
            <w:r w:rsidRPr="00FC28E6">
              <w:rPr>
                <w:rFonts w:cstheme="minorHAnsi"/>
                <w:sz w:val="20"/>
                <w:szCs w:val="20"/>
                <w:vertAlign w:val="superscript"/>
                <w:lang w:val="en-US"/>
              </w:rPr>
              <w:t>a</w:t>
            </w:r>
            <w:proofErr w:type="gramEnd"/>
            <w:r w:rsidRPr="00FC28E6">
              <w:rPr>
                <w:rFonts w:cstheme="minorHAnsi"/>
                <w:sz w:val="20"/>
                <w:szCs w:val="20"/>
                <w:vertAlign w:val="superscript"/>
                <w:lang w:val="en-US"/>
              </w:rPr>
              <w:t>,b</w:t>
            </w:r>
            <w:proofErr w:type="spellEnd"/>
          </w:p>
        </w:tc>
        <w:tc>
          <w:tcPr>
            <w:tcW w:w="491" w:type="pct"/>
            <w:vAlign w:val="center"/>
          </w:tcPr>
          <w:p w14:paraId="7A13D333"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vertAlign w:val="superscript"/>
                <w:lang w:val="en-US"/>
              </w:rPr>
            </w:pPr>
            <w:r w:rsidRPr="00FC28E6">
              <w:rPr>
                <w:rFonts w:cstheme="minorHAnsi"/>
                <w:sz w:val="20"/>
                <w:szCs w:val="20"/>
                <w:lang w:val="en-US"/>
              </w:rPr>
              <w:t>1.24 [1.03-1.</w:t>
            </w:r>
            <w:proofErr w:type="gramStart"/>
            <w:r w:rsidRPr="00FC28E6">
              <w:rPr>
                <w:rFonts w:cstheme="minorHAnsi"/>
                <w:sz w:val="20"/>
                <w:szCs w:val="20"/>
                <w:lang w:val="en-US"/>
              </w:rPr>
              <w:t>47]</w:t>
            </w:r>
            <w:r w:rsidRPr="00FC28E6">
              <w:rPr>
                <w:rFonts w:cstheme="minorHAnsi"/>
                <w:sz w:val="20"/>
                <w:szCs w:val="20"/>
                <w:vertAlign w:val="superscript"/>
                <w:lang w:val="en-US"/>
              </w:rPr>
              <w:t>b</w:t>
            </w:r>
            <w:proofErr w:type="gramEnd"/>
          </w:p>
        </w:tc>
        <w:tc>
          <w:tcPr>
            <w:tcW w:w="366" w:type="pct"/>
            <w:vAlign w:val="center"/>
          </w:tcPr>
          <w:p w14:paraId="659A47D5" w14:textId="77777777" w:rsidR="00FC28E6" w:rsidRPr="00FC28E6" w:rsidRDefault="00FC28E6" w:rsidP="00FC28E6">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lang w:val="en-US"/>
              </w:rPr>
            </w:pPr>
            <w:r w:rsidRPr="00FC28E6">
              <w:rPr>
                <w:rFonts w:cstheme="minorHAnsi"/>
                <w:b/>
                <w:bCs/>
                <w:sz w:val="20"/>
                <w:szCs w:val="20"/>
                <w:lang w:val="en-US"/>
              </w:rPr>
              <w:t>0.00</w:t>
            </w:r>
          </w:p>
        </w:tc>
      </w:tr>
    </w:tbl>
    <w:p w14:paraId="655588BC" w14:textId="24BB4D7B" w:rsidR="00FC28E6" w:rsidRDefault="00FC28E6" w:rsidP="00FC28E6">
      <w:pPr>
        <w:rPr>
          <w:rFonts w:cstheme="minorHAnsi"/>
          <w:lang w:val="en-US"/>
        </w:rPr>
      </w:pPr>
      <w:r>
        <w:rPr>
          <w:rFonts w:cstheme="minorHAnsi"/>
          <w:sz w:val="20"/>
          <w:szCs w:val="20"/>
        </w:rPr>
        <w:t xml:space="preserve">Tabla </w:t>
      </w:r>
      <w:r>
        <w:rPr>
          <w:rFonts w:cstheme="minorHAnsi"/>
          <w:sz w:val="20"/>
          <w:szCs w:val="20"/>
        </w:rPr>
        <w:t>3</w:t>
      </w:r>
      <w:r>
        <w:rPr>
          <w:rFonts w:cstheme="minorHAnsi"/>
          <w:sz w:val="20"/>
          <w:szCs w:val="20"/>
        </w:rPr>
        <w:t xml:space="preserve">: </w:t>
      </w:r>
      <w:r w:rsidRPr="001B5B0C">
        <w:rPr>
          <w:rFonts w:cstheme="minorHAnsi"/>
          <w:sz w:val="20"/>
          <w:szCs w:val="20"/>
        </w:rPr>
        <w:t xml:space="preserve">LME = lactancia materna exclusiva. No-LME: lactancia materna no exclusiva. N = </w:t>
      </w:r>
      <w:r>
        <w:rPr>
          <w:rFonts w:cstheme="minorHAnsi"/>
          <w:sz w:val="20"/>
          <w:szCs w:val="20"/>
        </w:rPr>
        <w:t>estado nutricional normal. SP= estado nutricional sobrepeso. OB</w:t>
      </w:r>
      <w:r w:rsidRPr="001B5B0C">
        <w:rPr>
          <w:rFonts w:cstheme="minorHAnsi"/>
          <w:sz w:val="20"/>
          <w:szCs w:val="20"/>
        </w:rPr>
        <w:t xml:space="preserve"> = obesidad. Prueba de Kruskal-Wallis y post hoc. </w:t>
      </w:r>
      <w:r w:rsidRPr="001B5B0C">
        <w:rPr>
          <w:rFonts w:cstheme="minorHAnsi"/>
          <w:sz w:val="20"/>
          <w:szCs w:val="20"/>
          <w:lang w:val="en-US"/>
        </w:rPr>
        <w:t>Valor p: &lt;0,05</w:t>
      </w:r>
      <w:r w:rsidRPr="001B5B0C">
        <w:rPr>
          <w:rFonts w:cstheme="minorHAnsi"/>
          <w:lang w:val="en-US"/>
        </w:rPr>
        <w:t>.</w:t>
      </w:r>
    </w:p>
    <w:p w14:paraId="5919C4D5" w14:textId="77777777" w:rsidR="00FC28E6" w:rsidRPr="001370BD" w:rsidRDefault="00FC28E6">
      <w:pPr>
        <w:rPr>
          <w:rFonts w:cstheme="minorHAnsi"/>
          <w:b/>
          <w:bCs/>
          <w:lang w:val="en-US"/>
        </w:rPr>
      </w:pPr>
    </w:p>
    <w:sectPr w:rsidR="00FC28E6" w:rsidRPr="001370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AA"/>
    <w:rsid w:val="001370BD"/>
    <w:rsid w:val="001B5B0C"/>
    <w:rsid w:val="00340A98"/>
    <w:rsid w:val="00384641"/>
    <w:rsid w:val="00384BA0"/>
    <w:rsid w:val="00495002"/>
    <w:rsid w:val="005810F2"/>
    <w:rsid w:val="00986EFF"/>
    <w:rsid w:val="00C1224C"/>
    <w:rsid w:val="00D27EAA"/>
    <w:rsid w:val="00E6013D"/>
    <w:rsid w:val="00F4249C"/>
    <w:rsid w:val="00F63EA6"/>
    <w:rsid w:val="00FC28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52EA"/>
  <w15:chartTrackingRefBased/>
  <w15:docId w15:val="{9F29D91D-C391-4E7F-AD50-A2AD94BB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7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27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27EA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27EA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27EA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27E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7E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7E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7E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7EA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27EA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27EA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27EA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27EA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27E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7E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7E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7EAA"/>
    <w:rPr>
      <w:rFonts w:eastAsiaTheme="majorEastAsia" w:cstheme="majorBidi"/>
      <w:color w:val="272727" w:themeColor="text1" w:themeTint="D8"/>
    </w:rPr>
  </w:style>
  <w:style w:type="paragraph" w:styleId="Ttulo">
    <w:name w:val="Title"/>
    <w:basedOn w:val="Normal"/>
    <w:next w:val="Normal"/>
    <w:link w:val="TtuloCar"/>
    <w:uiPriority w:val="10"/>
    <w:qFormat/>
    <w:rsid w:val="00D27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7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7E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7E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7EAA"/>
    <w:pPr>
      <w:spacing w:before="160"/>
      <w:jc w:val="center"/>
    </w:pPr>
    <w:rPr>
      <w:i/>
      <w:iCs/>
      <w:color w:val="404040" w:themeColor="text1" w:themeTint="BF"/>
    </w:rPr>
  </w:style>
  <w:style w:type="character" w:customStyle="1" w:styleId="CitaCar">
    <w:name w:val="Cita Car"/>
    <w:basedOn w:val="Fuentedeprrafopredeter"/>
    <w:link w:val="Cita"/>
    <w:uiPriority w:val="29"/>
    <w:rsid w:val="00D27EAA"/>
    <w:rPr>
      <w:i/>
      <w:iCs/>
      <w:color w:val="404040" w:themeColor="text1" w:themeTint="BF"/>
    </w:rPr>
  </w:style>
  <w:style w:type="paragraph" w:styleId="Prrafodelista">
    <w:name w:val="List Paragraph"/>
    <w:basedOn w:val="Normal"/>
    <w:uiPriority w:val="34"/>
    <w:qFormat/>
    <w:rsid w:val="00D27EAA"/>
    <w:pPr>
      <w:ind w:left="720"/>
      <w:contextualSpacing/>
    </w:pPr>
  </w:style>
  <w:style w:type="character" w:styleId="nfasisintenso">
    <w:name w:val="Intense Emphasis"/>
    <w:basedOn w:val="Fuentedeprrafopredeter"/>
    <w:uiPriority w:val="21"/>
    <w:qFormat/>
    <w:rsid w:val="00D27EAA"/>
    <w:rPr>
      <w:i/>
      <w:iCs/>
      <w:color w:val="2F5496" w:themeColor="accent1" w:themeShade="BF"/>
    </w:rPr>
  </w:style>
  <w:style w:type="paragraph" w:styleId="Citadestacada">
    <w:name w:val="Intense Quote"/>
    <w:basedOn w:val="Normal"/>
    <w:next w:val="Normal"/>
    <w:link w:val="CitadestacadaCar"/>
    <w:uiPriority w:val="30"/>
    <w:qFormat/>
    <w:rsid w:val="00D27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27EAA"/>
    <w:rPr>
      <w:i/>
      <w:iCs/>
      <w:color w:val="2F5496" w:themeColor="accent1" w:themeShade="BF"/>
    </w:rPr>
  </w:style>
  <w:style w:type="character" w:styleId="Referenciaintensa">
    <w:name w:val="Intense Reference"/>
    <w:basedOn w:val="Fuentedeprrafopredeter"/>
    <w:uiPriority w:val="32"/>
    <w:qFormat/>
    <w:rsid w:val="00D27EAA"/>
    <w:rPr>
      <w:b/>
      <w:bCs/>
      <w:smallCaps/>
      <w:color w:val="2F5496" w:themeColor="accent1" w:themeShade="BF"/>
      <w:spacing w:val="5"/>
    </w:rPr>
  </w:style>
  <w:style w:type="table" w:styleId="Tablanormal2">
    <w:name w:val="Plain Table 2"/>
    <w:basedOn w:val="Tablanormal"/>
    <w:uiPriority w:val="42"/>
    <w:rsid w:val="001370BD"/>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1106</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Francisca Lasserre Laso</dc:creator>
  <cp:keywords/>
  <dc:description/>
  <cp:lastModifiedBy>Nicole Francisca Lasserre Laso</cp:lastModifiedBy>
  <cp:revision>7</cp:revision>
  <dcterms:created xsi:type="dcterms:W3CDTF">2025-09-01T16:24:00Z</dcterms:created>
  <dcterms:modified xsi:type="dcterms:W3CDTF">2025-09-01T16:48:00Z</dcterms:modified>
</cp:coreProperties>
</file>